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622CA" w14:textId="60328180" w:rsidR="00826243" w:rsidRDefault="00826243" w:rsidP="00826243">
      <w:pPr>
        <w:jc w:val="center"/>
        <w:rPr>
          <w:rFonts w:ascii="Arial" w:hAnsi="Arial" w:cs="Arial"/>
          <w:b/>
          <w:bCs/>
          <w:color w:val="000000"/>
          <w:sz w:val="20"/>
          <w:szCs w:val="20"/>
        </w:rPr>
      </w:pPr>
      <w:r>
        <w:rPr>
          <w:rFonts w:ascii="Arial" w:hAnsi="Arial" w:cs="Arial"/>
          <w:b/>
          <w:bCs/>
          <w:color w:val="000000"/>
          <w:sz w:val="20"/>
          <w:szCs w:val="20"/>
        </w:rPr>
        <w:t>Information Technology</w:t>
      </w:r>
    </w:p>
    <w:p w14:paraId="0C9EFA06" w14:textId="77777777" w:rsidR="00826243" w:rsidRDefault="00826243" w:rsidP="00826243">
      <w:pPr>
        <w:jc w:val="center"/>
        <w:rPr>
          <w:rFonts w:ascii="Arial" w:hAnsi="Arial" w:cs="Arial"/>
          <w:b/>
          <w:bCs/>
          <w:color w:val="000000"/>
          <w:sz w:val="20"/>
          <w:szCs w:val="20"/>
        </w:rPr>
      </w:pPr>
      <w:bookmarkStart w:id="0" w:name="_GoBack"/>
      <w:bookmarkEnd w:id="0"/>
    </w:p>
    <w:tbl>
      <w:tblPr>
        <w:tblStyle w:val="TableGrid"/>
        <w:tblW w:w="0" w:type="auto"/>
        <w:tblLook w:val="04A0" w:firstRow="1" w:lastRow="0" w:firstColumn="1" w:lastColumn="0" w:noHBand="0" w:noVBand="1"/>
      </w:tblPr>
      <w:tblGrid>
        <w:gridCol w:w="747"/>
        <w:gridCol w:w="8269"/>
      </w:tblGrid>
      <w:tr w:rsidR="00826243" w14:paraId="351F2841" w14:textId="77777777" w:rsidTr="00826243">
        <w:tc>
          <w:tcPr>
            <w:tcW w:w="704" w:type="dxa"/>
          </w:tcPr>
          <w:p w14:paraId="4EE95720" w14:textId="416F2B07" w:rsidR="00826243" w:rsidRPr="00826243" w:rsidRDefault="00826243" w:rsidP="00826243">
            <w:pPr>
              <w:jc w:val="center"/>
              <w:rPr>
                <w:rFonts w:ascii="Arial" w:hAnsi="Arial" w:cs="Arial"/>
                <w:b/>
                <w:bCs/>
                <w:color w:val="000000"/>
                <w:sz w:val="18"/>
                <w:szCs w:val="18"/>
              </w:rPr>
            </w:pPr>
            <w:proofErr w:type="spellStart"/>
            <w:r w:rsidRPr="00826243">
              <w:rPr>
                <w:rFonts w:ascii="Arial" w:hAnsi="Arial" w:cs="Arial"/>
                <w:b/>
                <w:bCs/>
                <w:color w:val="000000"/>
                <w:sz w:val="18"/>
                <w:szCs w:val="18"/>
              </w:rPr>
              <w:t>Sr.No</w:t>
            </w:r>
            <w:proofErr w:type="spellEnd"/>
            <w:r w:rsidRPr="00826243">
              <w:rPr>
                <w:rFonts w:ascii="Arial" w:hAnsi="Arial" w:cs="Arial"/>
                <w:b/>
                <w:bCs/>
                <w:color w:val="000000"/>
                <w:sz w:val="18"/>
                <w:szCs w:val="18"/>
              </w:rPr>
              <w:t>.</w:t>
            </w:r>
          </w:p>
        </w:tc>
        <w:tc>
          <w:tcPr>
            <w:tcW w:w="8312" w:type="dxa"/>
          </w:tcPr>
          <w:p w14:paraId="68C05238" w14:textId="11E6904A" w:rsidR="00826243" w:rsidRPr="00826243" w:rsidRDefault="00826243" w:rsidP="00826243">
            <w:pPr>
              <w:jc w:val="center"/>
              <w:rPr>
                <w:rFonts w:ascii="Arial" w:hAnsi="Arial" w:cs="Arial"/>
                <w:b/>
                <w:bCs/>
                <w:color w:val="000000"/>
                <w:sz w:val="18"/>
                <w:szCs w:val="18"/>
              </w:rPr>
            </w:pPr>
            <w:r w:rsidRPr="00826243">
              <w:rPr>
                <w:rFonts w:ascii="Arial" w:hAnsi="Arial" w:cs="Arial"/>
                <w:b/>
                <w:bCs/>
                <w:color w:val="000000"/>
                <w:sz w:val="18"/>
                <w:szCs w:val="18"/>
              </w:rPr>
              <w:t>RBI Notifications</w:t>
            </w:r>
          </w:p>
        </w:tc>
      </w:tr>
      <w:tr w:rsidR="00826243" w14:paraId="1480334E" w14:textId="77777777" w:rsidTr="00D6506F">
        <w:tc>
          <w:tcPr>
            <w:tcW w:w="704" w:type="dxa"/>
          </w:tcPr>
          <w:p w14:paraId="07580D66" w14:textId="633AE6A1" w:rsidR="00826243" w:rsidRPr="00826243" w:rsidRDefault="00826243" w:rsidP="00826243">
            <w:pPr>
              <w:jc w:val="center"/>
              <w:rPr>
                <w:rFonts w:cstheme="minorHAnsi"/>
                <w:bCs/>
                <w:color w:val="000000"/>
                <w:sz w:val="18"/>
                <w:szCs w:val="18"/>
              </w:rPr>
            </w:pPr>
            <w:r w:rsidRPr="00826243">
              <w:rPr>
                <w:rFonts w:cstheme="minorHAnsi"/>
                <w:bCs/>
                <w:color w:val="000000"/>
                <w:sz w:val="18"/>
                <w:szCs w:val="18"/>
              </w:rPr>
              <w:t>1</w:t>
            </w:r>
          </w:p>
        </w:tc>
        <w:tc>
          <w:tcPr>
            <w:tcW w:w="8312" w:type="dxa"/>
            <w:tcBorders>
              <w:top w:val="single" w:sz="4" w:space="0" w:color="auto"/>
              <w:left w:val="single" w:sz="4" w:space="0" w:color="auto"/>
              <w:bottom w:val="single" w:sz="4" w:space="0" w:color="auto"/>
              <w:right w:val="single" w:sz="4" w:space="0" w:color="auto"/>
            </w:tcBorders>
            <w:shd w:val="clear" w:color="auto" w:fill="auto"/>
            <w:vAlign w:val="center"/>
          </w:tcPr>
          <w:p w14:paraId="5806B5FB" w14:textId="060B7407" w:rsidR="00826243" w:rsidRDefault="00826243" w:rsidP="00826243">
            <w:pPr>
              <w:rPr>
                <w:rFonts w:ascii="Arial" w:hAnsi="Arial" w:cs="Arial"/>
                <w:b/>
                <w:bCs/>
                <w:color w:val="000000"/>
                <w:sz w:val="20"/>
                <w:szCs w:val="20"/>
              </w:rPr>
            </w:pPr>
            <w:r>
              <w:rPr>
                <w:rFonts w:ascii="Calibri" w:hAnsi="Calibri" w:cs="Calibri"/>
                <w:sz w:val="20"/>
                <w:szCs w:val="20"/>
              </w:rPr>
              <w:t>Restriction on storage of actual card data [i.e. Card-on-File (</w:t>
            </w:r>
            <w:proofErr w:type="spellStart"/>
            <w:r>
              <w:rPr>
                <w:rFonts w:ascii="Calibri" w:hAnsi="Calibri" w:cs="Calibri"/>
                <w:sz w:val="20"/>
                <w:szCs w:val="20"/>
              </w:rPr>
              <w:t>CoF</w:t>
            </w:r>
            <w:proofErr w:type="spellEnd"/>
            <w:r>
              <w:rPr>
                <w:rFonts w:ascii="Calibri" w:hAnsi="Calibri" w:cs="Calibri"/>
                <w:sz w:val="20"/>
                <w:szCs w:val="20"/>
              </w:rPr>
              <w:t>)]</w:t>
            </w:r>
          </w:p>
        </w:tc>
      </w:tr>
      <w:tr w:rsidR="00826243" w14:paraId="0D9D46F2" w14:textId="77777777" w:rsidTr="00D6506F">
        <w:tc>
          <w:tcPr>
            <w:tcW w:w="704" w:type="dxa"/>
          </w:tcPr>
          <w:p w14:paraId="153CF801" w14:textId="65AEACE4" w:rsidR="00826243" w:rsidRPr="00826243" w:rsidRDefault="00826243" w:rsidP="00826243">
            <w:pPr>
              <w:jc w:val="center"/>
              <w:rPr>
                <w:rFonts w:cstheme="minorHAnsi"/>
                <w:bCs/>
                <w:color w:val="000000"/>
                <w:sz w:val="18"/>
                <w:szCs w:val="18"/>
              </w:rPr>
            </w:pPr>
            <w:r w:rsidRPr="00826243">
              <w:rPr>
                <w:rFonts w:cstheme="minorHAnsi"/>
                <w:bCs/>
                <w:color w:val="000000"/>
                <w:sz w:val="18"/>
                <w:szCs w:val="18"/>
              </w:rPr>
              <w:t>2</w:t>
            </w:r>
          </w:p>
        </w:tc>
        <w:tc>
          <w:tcPr>
            <w:tcW w:w="8312" w:type="dxa"/>
            <w:tcBorders>
              <w:top w:val="nil"/>
              <w:left w:val="single" w:sz="4" w:space="0" w:color="auto"/>
              <w:bottom w:val="single" w:sz="4" w:space="0" w:color="auto"/>
              <w:right w:val="single" w:sz="4" w:space="0" w:color="auto"/>
            </w:tcBorders>
            <w:shd w:val="clear" w:color="auto" w:fill="auto"/>
            <w:vAlign w:val="center"/>
          </w:tcPr>
          <w:p w14:paraId="5F02E879" w14:textId="006EF10F" w:rsidR="00826243" w:rsidRDefault="00826243" w:rsidP="00826243">
            <w:pPr>
              <w:rPr>
                <w:rFonts w:ascii="Arial" w:hAnsi="Arial" w:cs="Arial"/>
                <w:b/>
                <w:bCs/>
                <w:color w:val="000000"/>
                <w:sz w:val="20"/>
                <w:szCs w:val="20"/>
              </w:rPr>
            </w:pPr>
            <w:r>
              <w:rPr>
                <w:rFonts w:ascii="Calibri" w:hAnsi="Calibri" w:cs="Calibri"/>
                <w:sz w:val="20"/>
                <w:szCs w:val="20"/>
              </w:rPr>
              <w:t>Integrated Ombudsman Scheme, 2021</w:t>
            </w:r>
          </w:p>
        </w:tc>
      </w:tr>
      <w:tr w:rsidR="00826243" w14:paraId="72E01719" w14:textId="77777777" w:rsidTr="00D6506F">
        <w:tc>
          <w:tcPr>
            <w:tcW w:w="704" w:type="dxa"/>
          </w:tcPr>
          <w:p w14:paraId="65B77559" w14:textId="43CC6844" w:rsidR="00826243" w:rsidRPr="00826243" w:rsidRDefault="00826243" w:rsidP="00826243">
            <w:pPr>
              <w:jc w:val="center"/>
              <w:rPr>
                <w:rFonts w:cstheme="minorHAnsi"/>
                <w:bCs/>
                <w:color w:val="000000"/>
                <w:sz w:val="18"/>
                <w:szCs w:val="18"/>
              </w:rPr>
            </w:pPr>
            <w:r w:rsidRPr="00826243">
              <w:rPr>
                <w:rFonts w:cstheme="minorHAnsi"/>
                <w:bCs/>
                <w:color w:val="000000"/>
                <w:sz w:val="18"/>
                <w:szCs w:val="18"/>
              </w:rPr>
              <w:t>3</w:t>
            </w:r>
          </w:p>
        </w:tc>
        <w:tc>
          <w:tcPr>
            <w:tcW w:w="8312" w:type="dxa"/>
            <w:tcBorders>
              <w:top w:val="nil"/>
              <w:left w:val="single" w:sz="4" w:space="0" w:color="auto"/>
              <w:bottom w:val="single" w:sz="4" w:space="0" w:color="auto"/>
              <w:right w:val="single" w:sz="4" w:space="0" w:color="auto"/>
            </w:tcBorders>
            <w:shd w:val="clear" w:color="auto" w:fill="auto"/>
            <w:vAlign w:val="center"/>
          </w:tcPr>
          <w:p w14:paraId="4A1DC374" w14:textId="3B228EFC" w:rsidR="00826243" w:rsidRDefault="00826243" w:rsidP="00826243">
            <w:pPr>
              <w:rPr>
                <w:rFonts w:ascii="Arial" w:hAnsi="Arial" w:cs="Arial"/>
                <w:b/>
                <w:bCs/>
                <w:color w:val="000000"/>
                <w:sz w:val="20"/>
                <w:szCs w:val="20"/>
              </w:rPr>
            </w:pPr>
            <w:r>
              <w:rPr>
                <w:rFonts w:ascii="Calibri" w:hAnsi="Calibri" w:cs="Calibri"/>
                <w:sz w:val="20"/>
                <w:szCs w:val="20"/>
              </w:rPr>
              <w:t>Tokenisation – Card Transactions: Permitting Card-on-File Tokenisation (</w:t>
            </w:r>
            <w:proofErr w:type="spellStart"/>
            <w:r>
              <w:rPr>
                <w:rFonts w:ascii="Calibri" w:hAnsi="Calibri" w:cs="Calibri"/>
                <w:sz w:val="20"/>
                <w:szCs w:val="20"/>
              </w:rPr>
              <w:t>CoFT</w:t>
            </w:r>
            <w:proofErr w:type="spellEnd"/>
            <w:r>
              <w:rPr>
                <w:rFonts w:ascii="Calibri" w:hAnsi="Calibri" w:cs="Calibri"/>
                <w:sz w:val="20"/>
                <w:szCs w:val="20"/>
              </w:rPr>
              <w:t>) Services</w:t>
            </w:r>
          </w:p>
        </w:tc>
      </w:tr>
      <w:tr w:rsidR="00826243" w14:paraId="41AACD87" w14:textId="77777777" w:rsidTr="00D6506F">
        <w:tc>
          <w:tcPr>
            <w:tcW w:w="704" w:type="dxa"/>
          </w:tcPr>
          <w:p w14:paraId="19E311BF" w14:textId="13C8D338" w:rsidR="00826243" w:rsidRPr="00826243" w:rsidRDefault="00826243" w:rsidP="00826243">
            <w:pPr>
              <w:jc w:val="center"/>
              <w:rPr>
                <w:rFonts w:cstheme="minorHAnsi"/>
                <w:bCs/>
                <w:color w:val="000000"/>
                <w:sz w:val="18"/>
                <w:szCs w:val="18"/>
              </w:rPr>
            </w:pPr>
            <w:r w:rsidRPr="00826243">
              <w:rPr>
                <w:rFonts w:cstheme="minorHAnsi"/>
                <w:bCs/>
                <w:color w:val="000000"/>
                <w:sz w:val="18"/>
                <w:szCs w:val="18"/>
              </w:rPr>
              <w:t>4</w:t>
            </w:r>
          </w:p>
        </w:tc>
        <w:tc>
          <w:tcPr>
            <w:tcW w:w="8312" w:type="dxa"/>
            <w:tcBorders>
              <w:top w:val="nil"/>
              <w:left w:val="single" w:sz="4" w:space="0" w:color="auto"/>
              <w:bottom w:val="single" w:sz="4" w:space="0" w:color="auto"/>
              <w:right w:val="single" w:sz="4" w:space="0" w:color="auto"/>
            </w:tcBorders>
            <w:shd w:val="clear" w:color="auto" w:fill="auto"/>
            <w:vAlign w:val="center"/>
          </w:tcPr>
          <w:p w14:paraId="372C8303" w14:textId="37D43EC7" w:rsidR="00826243" w:rsidRDefault="00826243" w:rsidP="00826243">
            <w:pPr>
              <w:rPr>
                <w:rFonts w:ascii="Arial" w:hAnsi="Arial" w:cs="Arial"/>
                <w:b/>
                <w:bCs/>
                <w:color w:val="000000"/>
                <w:sz w:val="20"/>
                <w:szCs w:val="20"/>
              </w:rPr>
            </w:pPr>
            <w:r>
              <w:rPr>
                <w:rFonts w:ascii="Calibri" w:hAnsi="Calibri" w:cs="Calibri"/>
                <w:sz w:val="20"/>
                <w:szCs w:val="20"/>
              </w:rPr>
              <w:t>Tokenisation – Card Transactions : Extending the Scope of Permitted Devices</w:t>
            </w:r>
          </w:p>
        </w:tc>
      </w:tr>
      <w:tr w:rsidR="00826243" w14:paraId="4B9DF29F" w14:textId="77777777" w:rsidTr="00D6506F">
        <w:tc>
          <w:tcPr>
            <w:tcW w:w="704" w:type="dxa"/>
          </w:tcPr>
          <w:p w14:paraId="509B79CD" w14:textId="1A5BCF02" w:rsidR="00826243" w:rsidRPr="00826243" w:rsidRDefault="00826243" w:rsidP="00826243">
            <w:pPr>
              <w:jc w:val="center"/>
              <w:rPr>
                <w:rFonts w:cstheme="minorHAnsi"/>
                <w:bCs/>
                <w:color w:val="000000"/>
                <w:sz w:val="18"/>
                <w:szCs w:val="18"/>
              </w:rPr>
            </w:pPr>
            <w:r w:rsidRPr="00826243">
              <w:rPr>
                <w:rFonts w:cstheme="minorHAnsi"/>
                <w:bCs/>
                <w:color w:val="000000"/>
                <w:sz w:val="18"/>
                <w:szCs w:val="18"/>
              </w:rPr>
              <w:t>5</w:t>
            </w:r>
          </w:p>
        </w:tc>
        <w:tc>
          <w:tcPr>
            <w:tcW w:w="8312" w:type="dxa"/>
            <w:tcBorders>
              <w:top w:val="nil"/>
              <w:left w:val="single" w:sz="4" w:space="0" w:color="auto"/>
              <w:bottom w:val="single" w:sz="4" w:space="0" w:color="auto"/>
              <w:right w:val="single" w:sz="4" w:space="0" w:color="auto"/>
            </w:tcBorders>
            <w:shd w:val="clear" w:color="auto" w:fill="auto"/>
            <w:vAlign w:val="center"/>
          </w:tcPr>
          <w:p w14:paraId="779C8B6E" w14:textId="64792671" w:rsidR="00826243" w:rsidRDefault="00826243" w:rsidP="00826243">
            <w:pPr>
              <w:rPr>
                <w:rFonts w:ascii="Arial" w:hAnsi="Arial" w:cs="Arial"/>
                <w:b/>
                <w:bCs/>
                <w:color w:val="000000"/>
                <w:sz w:val="20"/>
                <w:szCs w:val="20"/>
              </w:rPr>
            </w:pPr>
            <w:r>
              <w:rPr>
                <w:rFonts w:ascii="Calibri" w:hAnsi="Calibri" w:cs="Calibri"/>
                <w:sz w:val="20"/>
                <w:szCs w:val="20"/>
              </w:rPr>
              <w:t>Monitoring of Availability of Cash in ATMs</w:t>
            </w:r>
          </w:p>
        </w:tc>
      </w:tr>
      <w:tr w:rsidR="00826243" w14:paraId="2E64A632" w14:textId="77777777" w:rsidTr="00D6506F">
        <w:tc>
          <w:tcPr>
            <w:tcW w:w="704" w:type="dxa"/>
          </w:tcPr>
          <w:p w14:paraId="05719AC0" w14:textId="4F213407" w:rsidR="00826243" w:rsidRPr="00826243" w:rsidRDefault="00826243" w:rsidP="00826243">
            <w:pPr>
              <w:jc w:val="center"/>
              <w:rPr>
                <w:rFonts w:cstheme="minorHAnsi"/>
                <w:bCs/>
                <w:color w:val="000000"/>
                <w:sz w:val="18"/>
                <w:szCs w:val="18"/>
              </w:rPr>
            </w:pPr>
            <w:r w:rsidRPr="00826243">
              <w:rPr>
                <w:rFonts w:cstheme="minorHAnsi"/>
                <w:bCs/>
                <w:color w:val="000000"/>
                <w:sz w:val="18"/>
                <w:szCs w:val="18"/>
              </w:rPr>
              <w:t>6</w:t>
            </w:r>
          </w:p>
        </w:tc>
        <w:tc>
          <w:tcPr>
            <w:tcW w:w="8312" w:type="dxa"/>
            <w:tcBorders>
              <w:top w:val="nil"/>
              <w:left w:val="single" w:sz="4" w:space="0" w:color="auto"/>
              <w:bottom w:val="single" w:sz="4" w:space="0" w:color="auto"/>
              <w:right w:val="single" w:sz="4" w:space="0" w:color="auto"/>
            </w:tcBorders>
            <w:shd w:val="clear" w:color="auto" w:fill="auto"/>
            <w:vAlign w:val="center"/>
          </w:tcPr>
          <w:p w14:paraId="724A7B2F" w14:textId="16C4A833" w:rsidR="00826243" w:rsidRDefault="00826243" w:rsidP="00826243">
            <w:pPr>
              <w:rPr>
                <w:rFonts w:ascii="Arial" w:hAnsi="Arial" w:cs="Arial"/>
                <w:b/>
                <w:bCs/>
                <w:color w:val="000000"/>
                <w:sz w:val="20"/>
                <w:szCs w:val="20"/>
              </w:rPr>
            </w:pPr>
            <w:r>
              <w:rPr>
                <w:rFonts w:ascii="Calibri" w:hAnsi="Calibri" w:cs="Calibri"/>
                <w:sz w:val="20"/>
                <w:szCs w:val="20"/>
              </w:rPr>
              <w:t>Framework for Outsourcing of Payment and Settlement-related Activities by Payment System Operators</w:t>
            </w:r>
          </w:p>
        </w:tc>
      </w:tr>
      <w:tr w:rsidR="00826243" w14:paraId="4693CA89" w14:textId="77777777" w:rsidTr="00D6506F">
        <w:tc>
          <w:tcPr>
            <w:tcW w:w="704" w:type="dxa"/>
          </w:tcPr>
          <w:p w14:paraId="6648AA32" w14:textId="47D5C224" w:rsidR="00826243" w:rsidRPr="00826243" w:rsidRDefault="00826243" w:rsidP="00826243">
            <w:pPr>
              <w:jc w:val="center"/>
              <w:rPr>
                <w:rFonts w:cstheme="minorHAnsi"/>
                <w:bCs/>
                <w:color w:val="000000"/>
                <w:sz w:val="18"/>
                <w:szCs w:val="18"/>
              </w:rPr>
            </w:pPr>
            <w:r w:rsidRPr="00826243">
              <w:rPr>
                <w:rFonts w:cstheme="minorHAnsi"/>
                <w:bCs/>
                <w:color w:val="000000"/>
                <w:sz w:val="18"/>
                <w:szCs w:val="18"/>
              </w:rPr>
              <w:t>7</w:t>
            </w:r>
          </w:p>
        </w:tc>
        <w:tc>
          <w:tcPr>
            <w:tcW w:w="8312" w:type="dxa"/>
            <w:tcBorders>
              <w:top w:val="nil"/>
              <w:left w:val="single" w:sz="4" w:space="0" w:color="auto"/>
              <w:bottom w:val="single" w:sz="4" w:space="0" w:color="auto"/>
              <w:right w:val="single" w:sz="4" w:space="0" w:color="auto"/>
            </w:tcBorders>
            <w:shd w:val="clear" w:color="auto" w:fill="auto"/>
            <w:vAlign w:val="center"/>
          </w:tcPr>
          <w:p w14:paraId="0CB63ECC" w14:textId="11757CA1" w:rsidR="00826243" w:rsidRDefault="00826243" w:rsidP="00826243">
            <w:pPr>
              <w:rPr>
                <w:rFonts w:ascii="Arial" w:hAnsi="Arial" w:cs="Arial"/>
                <w:b/>
                <w:bCs/>
                <w:color w:val="000000"/>
                <w:sz w:val="20"/>
                <w:szCs w:val="20"/>
              </w:rPr>
            </w:pPr>
            <w:r>
              <w:rPr>
                <w:rFonts w:ascii="Calibri" w:hAnsi="Calibri" w:cs="Calibri"/>
                <w:sz w:val="20"/>
                <w:szCs w:val="20"/>
              </w:rPr>
              <w:t>Cassette - Swaps in ATMs</w:t>
            </w:r>
          </w:p>
        </w:tc>
      </w:tr>
    </w:tbl>
    <w:p w14:paraId="26D3CF55" w14:textId="77777777" w:rsidR="00826243" w:rsidRDefault="00826243" w:rsidP="00826243">
      <w:pPr>
        <w:rPr>
          <w:rFonts w:ascii="Arial" w:hAnsi="Arial" w:cs="Arial"/>
          <w:b/>
          <w:bCs/>
          <w:color w:val="000000"/>
          <w:sz w:val="20"/>
          <w:szCs w:val="20"/>
        </w:rPr>
      </w:pPr>
    </w:p>
    <w:p w14:paraId="261CDA4A" w14:textId="77777777" w:rsidR="00826243" w:rsidRDefault="00826243" w:rsidP="00B94F8B">
      <w:pPr>
        <w:rPr>
          <w:rFonts w:ascii="Arial" w:hAnsi="Arial" w:cs="Arial"/>
          <w:b/>
          <w:bCs/>
          <w:color w:val="000000"/>
          <w:sz w:val="20"/>
          <w:szCs w:val="20"/>
        </w:rPr>
      </w:pPr>
    </w:p>
    <w:p w14:paraId="2F02E4DE" w14:textId="28C19925" w:rsidR="00B94F8B" w:rsidRDefault="00B94F8B" w:rsidP="00B94F8B">
      <w:pPr>
        <w:rPr>
          <w:rFonts w:ascii="Arial" w:hAnsi="Arial" w:cs="Arial"/>
          <w:bCs/>
          <w:color w:val="000000"/>
          <w:sz w:val="20"/>
          <w:szCs w:val="20"/>
        </w:rPr>
      </w:pPr>
      <w:r>
        <w:rPr>
          <w:rFonts w:ascii="Arial" w:hAnsi="Arial" w:cs="Arial"/>
          <w:b/>
          <w:bCs/>
          <w:color w:val="000000"/>
          <w:sz w:val="20"/>
          <w:szCs w:val="20"/>
        </w:rPr>
        <w:t>Restriction on storage of actual card data [i.e. 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w:t>
      </w:r>
      <w:proofErr w:type="spellStart"/>
      <w:r>
        <w:rPr>
          <w:rFonts w:ascii="Arial" w:hAnsi="Arial" w:cs="Arial"/>
          <w:b/>
          <w:bCs/>
          <w:color w:val="000000"/>
          <w:sz w:val="20"/>
          <w:szCs w:val="20"/>
        </w:rPr>
        <w:t>CoF</w:t>
      </w:r>
      <w:proofErr w:type="spellEnd"/>
      <w:r>
        <w:rPr>
          <w:rFonts w:ascii="Arial" w:hAnsi="Arial" w:cs="Arial"/>
          <w:b/>
          <w:bCs/>
          <w:color w:val="000000"/>
          <w:sz w:val="20"/>
          <w:szCs w:val="20"/>
        </w:rPr>
        <w:t>)]</w:t>
      </w:r>
    </w:p>
    <w:p w14:paraId="1D12F244" w14:textId="77777777" w:rsidR="00B94F8B" w:rsidRPr="00F21F4B" w:rsidRDefault="00B94F8B" w:rsidP="00B94F8B">
      <w:pPr>
        <w:pStyle w:val="NoSpacing"/>
      </w:pPr>
      <w:r w:rsidRPr="00F21F4B">
        <w:t>RBI/2021-2022/142</w:t>
      </w:r>
    </w:p>
    <w:p w14:paraId="7AE4D777" w14:textId="77777777" w:rsidR="00B94F8B" w:rsidRPr="00F21F4B" w:rsidRDefault="00B94F8B" w:rsidP="00B94F8B">
      <w:pPr>
        <w:pStyle w:val="NoSpacing"/>
      </w:pPr>
      <w:proofErr w:type="gramStart"/>
      <w:r w:rsidRPr="00F21F4B">
        <w:t>CO.DPSS.POLC</w:t>
      </w:r>
      <w:proofErr w:type="gramEnd"/>
      <w:r w:rsidRPr="00F21F4B">
        <w:t>.No.S-1211/02-14-003/2021-22</w:t>
      </w:r>
    </w:p>
    <w:p w14:paraId="382AFC59" w14:textId="77777777" w:rsidR="00B94F8B" w:rsidRPr="00F21F4B" w:rsidRDefault="00B94F8B" w:rsidP="00B94F8B">
      <w:pPr>
        <w:pStyle w:val="NoSpacing"/>
      </w:pPr>
    </w:p>
    <w:p w14:paraId="641FAF95" w14:textId="77777777" w:rsidR="00B94F8B" w:rsidRPr="00F21F4B" w:rsidRDefault="00B94F8B" w:rsidP="00B94F8B">
      <w:pPr>
        <w:pStyle w:val="NoSpacing"/>
      </w:pPr>
      <w:r w:rsidRPr="00F21F4B">
        <w:t>December 23, 2021</w:t>
      </w:r>
    </w:p>
    <w:p w14:paraId="2E9FCB62" w14:textId="77777777" w:rsidR="00B94F8B" w:rsidRPr="00F21F4B" w:rsidRDefault="00B94F8B" w:rsidP="00B94F8B">
      <w:pPr>
        <w:pStyle w:val="NoSpacing"/>
      </w:pPr>
    </w:p>
    <w:p w14:paraId="434A49CA" w14:textId="77777777" w:rsidR="00B94F8B" w:rsidRPr="00F21F4B" w:rsidRDefault="00B94F8B" w:rsidP="00B94F8B">
      <w:pPr>
        <w:pStyle w:val="NoSpacing"/>
      </w:pPr>
      <w:r w:rsidRPr="00F21F4B">
        <w:t>All Payment System Providers and Payment System Participants</w:t>
      </w:r>
    </w:p>
    <w:p w14:paraId="13FDA666" w14:textId="77777777" w:rsidR="00B94F8B" w:rsidRPr="00F21F4B" w:rsidRDefault="00B94F8B" w:rsidP="00B94F8B">
      <w:pPr>
        <w:pStyle w:val="NoSpacing"/>
      </w:pPr>
    </w:p>
    <w:p w14:paraId="04E54CA2" w14:textId="77777777" w:rsidR="00B94F8B" w:rsidRPr="00F21F4B" w:rsidRDefault="00B94F8B" w:rsidP="00B94F8B">
      <w:pPr>
        <w:pStyle w:val="NoSpacing"/>
      </w:pPr>
      <w:r w:rsidRPr="00F21F4B">
        <w:t>Madam / Dear Sir,</w:t>
      </w:r>
    </w:p>
    <w:p w14:paraId="6BB99174" w14:textId="77777777" w:rsidR="00B94F8B" w:rsidRPr="00F21F4B" w:rsidRDefault="00B94F8B" w:rsidP="00B94F8B">
      <w:pPr>
        <w:pStyle w:val="NoSpacing"/>
      </w:pPr>
    </w:p>
    <w:p w14:paraId="490E0E98" w14:textId="77777777" w:rsidR="00B94F8B" w:rsidRPr="00F21F4B" w:rsidRDefault="00B94F8B" w:rsidP="00B94F8B">
      <w:pPr>
        <w:pStyle w:val="NoSpacing"/>
        <w:rPr>
          <w:b/>
        </w:rPr>
      </w:pPr>
      <w:r w:rsidRPr="00F21F4B">
        <w:rPr>
          <w:b/>
        </w:rPr>
        <w:t>Restriction on storage of actual card data [i.e. Card-</w:t>
      </w:r>
      <w:proofErr w:type="gramStart"/>
      <w:r w:rsidRPr="00F21F4B">
        <w:rPr>
          <w:b/>
        </w:rPr>
        <w:t>on</w:t>
      </w:r>
      <w:proofErr w:type="gramEnd"/>
      <w:r w:rsidRPr="00F21F4B">
        <w:rPr>
          <w:b/>
        </w:rPr>
        <w:t>-File (</w:t>
      </w:r>
      <w:proofErr w:type="spellStart"/>
      <w:r w:rsidRPr="00F21F4B">
        <w:rPr>
          <w:b/>
        </w:rPr>
        <w:t>CoF</w:t>
      </w:r>
      <w:proofErr w:type="spellEnd"/>
      <w:r w:rsidRPr="00F21F4B">
        <w:rPr>
          <w:b/>
        </w:rPr>
        <w:t>)]</w:t>
      </w:r>
    </w:p>
    <w:p w14:paraId="3B52B602" w14:textId="77777777" w:rsidR="00B94F8B" w:rsidRPr="00F21F4B" w:rsidRDefault="00B94F8B" w:rsidP="00B94F8B">
      <w:pPr>
        <w:pStyle w:val="NoSpacing"/>
      </w:pPr>
    </w:p>
    <w:p w14:paraId="6F1D4DEE" w14:textId="77777777" w:rsidR="00B94F8B" w:rsidRPr="00F21F4B" w:rsidRDefault="00B94F8B" w:rsidP="00B94F8B">
      <w:pPr>
        <w:pStyle w:val="NoSpacing"/>
        <w:jc w:val="both"/>
      </w:pPr>
      <w:r w:rsidRPr="00F21F4B">
        <w:t xml:space="preserve">In terms of our circular </w:t>
      </w:r>
      <w:proofErr w:type="gramStart"/>
      <w:r w:rsidRPr="00F21F4B">
        <w:t>DPSS.CO.PD.No.</w:t>
      </w:r>
      <w:proofErr w:type="gramEnd"/>
      <w:r w:rsidRPr="00F21F4B">
        <w:t>1810/02.14.008/2019-20 dated March 17, 2020 on “Guidelines on Regulation of Payment Aggregators and Payment Gateways”, the authorised non-bank payment aggregators and merchants on-boarded by them were prohibited from storing card data (</w:t>
      </w:r>
      <w:proofErr w:type="spellStart"/>
      <w:r w:rsidRPr="00F21F4B">
        <w:t>CoF</w:t>
      </w:r>
      <w:proofErr w:type="spellEnd"/>
      <w:r w:rsidRPr="00F21F4B">
        <w:t xml:space="preserve">) from June 30, 2021. At the request of industry stakeholders, this timeline was extended to December 31, 2021 vide circular </w:t>
      </w:r>
      <w:proofErr w:type="gramStart"/>
      <w:r w:rsidRPr="00F21F4B">
        <w:t>CO.DPSS.POLC</w:t>
      </w:r>
      <w:proofErr w:type="gramEnd"/>
      <w:r w:rsidRPr="00F21F4B">
        <w:t xml:space="preserve">.No.S33/02-14-008/2020-2021 dated March 31, 2021. Further, regulations on </w:t>
      </w:r>
      <w:proofErr w:type="spellStart"/>
      <w:r w:rsidRPr="00F21F4B">
        <w:t>CoF</w:t>
      </w:r>
      <w:proofErr w:type="spellEnd"/>
      <w:r w:rsidRPr="00F21F4B">
        <w:t xml:space="preserve"> Tokenisation (</w:t>
      </w:r>
      <w:proofErr w:type="spellStart"/>
      <w:r w:rsidRPr="00F21F4B">
        <w:t>CoFT</w:t>
      </w:r>
      <w:proofErr w:type="spellEnd"/>
      <w:r w:rsidRPr="00F21F4B">
        <w:t xml:space="preserve">) were issued vide circular </w:t>
      </w:r>
      <w:proofErr w:type="gramStart"/>
      <w:r w:rsidRPr="00F21F4B">
        <w:t>CO.DPSS.POLC</w:t>
      </w:r>
      <w:proofErr w:type="gramEnd"/>
      <w:r w:rsidRPr="00F21F4B">
        <w:t>.No.S-516/02-14-003/2021-22 dated September 07, 2021 on “Tokenisation – Card Transactions: Permitting Card-on-File Tokenisation (</w:t>
      </w:r>
      <w:proofErr w:type="spellStart"/>
      <w:r w:rsidRPr="00F21F4B">
        <w:t>CoFT</w:t>
      </w:r>
      <w:proofErr w:type="spellEnd"/>
      <w:r w:rsidRPr="00F21F4B">
        <w:t>) Services”.</w:t>
      </w:r>
    </w:p>
    <w:p w14:paraId="5243902E" w14:textId="77777777" w:rsidR="00B94F8B" w:rsidRPr="00F21F4B" w:rsidRDefault="00B94F8B" w:rsidP="00B94F8B">
      <w:pPr>
        <w:pStyle w:val="NoSpacing"/>
        <w:jc w:val="both"/>
      </w:pPr>
    </w:p>
    <w:p w14:paraId="04FF2422" w14:textId="77777777" w:rsidR="00B94F8B" w:rsidRPr="00F21F4B" w:rsidRDefault="00B94F8B" w:rsidP="00B94F8B">
      <w:pPr>
        <w:pStyle w:val="NoSpacing"/>
        <w:jc w:val="both"/>
      </w:pPr>
      <w:r w:rsidRPr="00F21F4B">
        <w:t>2. In light of various representations received in this regard, we advise as under:</w:t>
      </w:r>
    </w:p>
    <w:p w14:paraId="4B19E3A6" w14:textId="77777777" w:rsidR="00B94F8B" w:rsidRPr="00F21F4B" w:rsidRDefault="00B94F8B" w:rsidP="00B94F8B">
      <w:pPr>
        <w:pStyle w:val="NoSpacing"/>
        <w:jc w:val="both"/>
      </w:pPr>
    </w:p>
    <w:p w14:paraId="3B3F3318" w14:textId="77777777" w:rsidR="00B94F8B" w:rsidRPr="00F21F4B" w:rsidRDefault="00B94F8B" w:rsidP="00B94F8B">
      <w:pPr>
        <w:pStyle w:val="NoSpacing"/>
        <w:jc w:val="both"/>
      </w:pPr>
      <w:r w:rsidRPr="00F21F4B">
        <w:t xml:space="preserve">the timeline for storing of </w:t>
      </w:r>
      <w:proofErr w:type="spellStart"/>
      <w:r w:rsidRPr="00F21F4B">
        <w:t>CoF</w:t>
      </w:r>
      <w:proofErr w:type="spellEnd"/>
      <w:r w:rsidRPr="00F21F4B">
        <w:t xml:space="preserve"> data is extended by six months, i.e., till June 30, 2022; post this, such data shall be purged; and</w:t>
      </w:r>
    </w:p>
    <w:p w14:paraId="0297E6C1" w14:textId="77777777" w:rsidR="00B94F8B" w:rsidRPr="00F21F4B" w:rsidRDefault="00B94F8B" w:rsidP="00B94F8B">
      <w:pPr>
        <w:pStyle w:val="NoSpacing"/>
        <w:jc w:val="both"/>
      </w:pPr>
    </w:p>
    <w:p w14:paraId="187C3516" w14:textId="77777777" w:rsidR="00B94F8B" w:rsidRPr="00F21F4B" w:rsidRDefault="00B94F8B" w:rsidP="00B94F8B">
      <w:pPr>
        <w:pStyle w:val="NoSpacing"/>
        <w:jc w:val="both"/>
      </w:pPr>
      <w:r w:rsidRPr="00F21F4B">
        <w:t xml:space="preserve">in addition to tokenisation, industry stakeholders may devise alternate mechanism(s) to handle any use case (including recurring e-mandates, EMI option, etc.) or post-transaction activity (including chargeback handling, dispute resolution, reward / loyalty programme, etc.) that currently involves / requires storage of </w:t>
      </w:r>
      <w:proofErr w:type="spellStart"/>
      <w:r w:rsidRPr="00F21F4B">
        <w:t>CoF</w:t>
      </w:r>
      <w:proofErr w:type="spellEnd"/>
      <w:r w:rsidRPr="00F21F4B">
        <w:t xml:space="preserve"> data by entities other than card issuers and card networks.</w:t>
      </w:r>
    </w:p>
    <w:p w14:paraId="700D3E98" w14:textId="77777777" w:rsidR="00B94F8B" w:rsidRPr="00F21F4B" w:rsidRDefault="00B94F8B" w:rsidP="00B94F8B">
      <w:pPr>
        <w:pStyle w:val="NoSpacing"/>
        <w:jc w:val="both"/>
      </w:pPr>
    </w:p>
    <w:p w14:paraId="47274780" w14:textId="77777777" w:rsidR="00B94F8B" w:rsidRPr="00F21F4B" w:rsidRDefault="00B94F8B" w:rsidP="00B94F8B">
      <w:pPr>
        <w:pStyle w:val="NoSpacing"/>
        <w:jc w:val="both"/>
      </w:pPr>
      <w:r w:rsidRPr="00F21F4B">
        <w:t>3. This directive is issued under Section 10 (2) read with Section 18 of Payment and Settlement Systems Act, 2007 (Act 51 of 2007).</w:t>
      </w:r>
    </w:p>
    <w:p w14:paraId="48EEE41F" w14:textId="77777777" w:rsidR="00B94F8B" w:rsidRPr="00F21F4B" w:rsidRDefault="00B94F8B" w:rsidP="00B94F8B">
      <w:pPr>
        <w:pStyle w:val="NoSpacing"/>
        <w:jc w:val="both"/>
      </w:pPr>
    </w:p>
    <w:p w14:paraId="0FB26550" w14:textId="77777777" w:rsidR="00B94F8B" w:rsidRPr="00F21F4B" w:rsidRDefault="00B94F8B" w:rsidP="00B94F8B">
      <w:pPr>
        <w:pStyle w:val="NoSpacing"/>
        <w:jc w:val="both"/>
      </w:pPr>
      <w:r w:rsidRPr="00F21F4B">
        <w:t>Yours faithfully,</w:t>
      </w:r>
    </w:p>
    <w:p w14:paraId="49E55EB1" w14:textId="77777777" w:rsidR="00B94F8B" w:rsidRPr="00F21F4B" w:rsidRDefault="00B94F8B" w:rsidP="00B94F8B">
      <w:pPr>
        <w:pStyle w:val="NoSpacing"/>
        <w:jc w:val="both"/>
      </w:pPr>
    </w:p>
    <w:p w14:paraId="7F6E81B7" w14:textId="77777777" w:rsidR="00B94F8B" w:rsidRPr="00F21F4B" w:rsidRDefault="00B94F8B" w:rsidP="00B94F8B">
      <w:pPr>
        <w:pStyle w:val="NoSpacing"/>
        <w:jc w:val="both"/>
      </w:pPr>
      <w:r w:rsidRPr="00F21F4B">
        <w:lastRenderedPageBreak/>
        <w:t>(Sudhanshu Prasad)</w:t>
      </w:r>
    </w:p>
    <w:p w14:paraId="4D734C61" w14:textId="77777777" w:rsidR="00B94F8B" w:rsidRDefault="00B94F8B" w:rsidP="00B94F8B">
      <w:pPr>
        <w:pStyle w:val="NoSpacing"/>
        <w:jc w:val="both"/>
      </w:pPr>
      <w:r w:rsidRPr="00F21F4B">
        <w:t>General Manager (Officer in Charge)</w:t>
      </w:r>
    </w:p>
    <w:p w14:paraId="5B460BAA" w14:textId="77777777" w:rsidR="00B94F8B" w:rsidRDefault="00B94F8B" w:rsidP="00B94F8B">
      <w:pPr>
        <w:pStyle w:val="NoSpacing"/>
        <w:jc w:val="both"/>
      </w:pPr>
    </w:p>
    <w:p w14:paraId="293A5E36" w14:textId="77777777" w:rsidR="00B94F8B" w:rsidRPr="00F21F4B" w:rsidRDefault="00B94F8B" w:rsidP="00B94F8B">
      <w:pPr>
        <w:pStyle w:val="NoSpacing"/>
        <w:jc w:val="both"/>
      </w:pPr>
      <w:r>
        <w:t xml:space="preserve">Reference link: </w:t>
      </w:r>
      <w:hyperlink r:id="rId5" w:history="1">
        <w:r w:rsidRPr="000175C0">
          <w:rPr>
            <w:rStyle w:val="Hyperlink"/>
          </w:rPr>
          <w:t>https://www.rbi.org.in/Scripts/NotificationUser.aspx?Id=12211&amp;Mode=0</w:t>
        </w:r>
      </w:hyperlink>
      <w:r>
        <w:t xml:space="preserve"> </w:t>
      </w:r>
    </w:p>
    <w:p w14:paraId="3F3D1535" w14:textId="77777777" w:rsidR="00B94F8B" w:rsidRDefault="00B94F8B" w:rsidP="00B94F8B">
      <w:r>
        <w:br w:type="page"/>
      </w:r>
    </w:p>
    <w:p w14:paraId="29A47C04" w14:textId="77777777" w:rsidR="00B94F8B" w:rsidRDefault="00B94F8B" w:rsidP="00B94F8B">
      <w:pPr>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w:t>
      </w:r>
    </w:p>
    <w:p w14:paraId="2636612C" w14:textId="77777777" w:rsidR="00B94F8B" w:rsidRPr="00C36E46" w:rsidRDefault="00B94F8B" w:rsidP="00B94F8B">
      <w:pPr>
        <w:rPr>
          <w:b/>
          <w:bCs/>
        </w:rPr>
      </w:pPr>
      <w:r w:rsidRPr="00C36E46">
        <w:rPr>
          <w:b/>
          <w:bCs/>
        </w:rPr>
        <w:t>DEPUTY GOVERNOR</w:t>
      </w:r>
    </w:p>
    <w:p w14:paraId="0F3AA5E9" w14:textId="77777777" w:rsidR="00B94F8B" w:rsidRPr="00C36E46" w:rsidRDefault="00B94F8B" w:rsidP="00B94F8B">
      <w:pPr>
        <w:rPr>
          <w:b/>
          <w:bCs/>
        </w:rPr>
      </w:pPr>
      <w:r w:rsidRPr="00C36E46">
        <w:rPr>
          <w:b/>
          <w:bCs/>
        </w:rPr>
        <w:t>Reserve Bank of India</w:t>
      </w:r>
      <w:r w:rsidRPr="00C36E46">
        <w:rPr>
          <w:b/>
          <w:bCs/>
        </w:rPr>
        <w:br/>
        <w:t>Mumbai</w:t>
      </w:r>
    </w:p>
    <w:p w14:paraId="57FB95B6" w14:textId="77777777" w:rsidR="00B94F8B" w:rsidRPr="00C36E46" w:rsidRDefault="00B94F8B" w:rsidP="00B94F8B">
      <w:pPr>
        <w:rPr>
          <w:b/>
          <w:bCs/>
        </w:rPr>
      </w:pPr>
      <w:r w:rsidRPr="00C36E46">
        <w:rPr>
          <w:b/>
          <w:bCs/>
        </w:rPr>
        <w:t> </w:t>
      </w:r>
    </w:p>
    <w:p w14:paraId="69AB5E8D" w14:textId="77777777" w:rsidR="00B94F8B" w:rsidRPr="00C36E46" w:rsidRDefault="00B94F8B" w:rsidP="00B94F8B">
      <w:pPr>
        <w:rPr>
          <w:b/>
          <w:bCs/>
        </w:rPr>
      </w:pPr>
      <w:r w:rsidRPr="00C36E46">
        <w:rPr>
          <w:b/>
          <w:bCs/>
        </w:rPr>
        <w:t>Reserve Bank - Integrated Ombudsman Scheme, 2021</w:t>
      </w:r>
    </w:p>
    <w:p w14:paraId="6E573597" w14:textId="77777777" w:rsidR="00B94F8B" w:rsidRPr="00C36E46" w:rsidRDefault="00B94F8B" w:rsidP="00B94F8B">
      <w:pPr>
        <w:rPr>
          <w:b/>
          <w:bCs/>
        </w:rPr>
      </w:pPr>
      <w:r w:rsidRPr="00C36E46">
        <w:rPr>
          <w:b/>
          <w:bCs/>
          <w:u w:val="single"/>
        </w:rPr>
        <w:t>NOTIFICATION</w:t>
      </w:r>
    </w:p>
    <w:p w14:paraId="22AFD10D" w14:textId="77777777" w:rsidR="00B94F8B" w:rsidRPr="00C36E46" w:rsidRDefault="00B94F8B" w:rsidP="00B94F8B">
      <w:r w:rsidRPr="00C36E46">
        <w:t xml:space="preserve">Ref. CEPD. PRD. </w:t>
      </w:r>
      <w:proofErr w:type="gramStart"/>
      <w:r w:rsidRPr="00C36E46">
        <w:t>No.S</w:t>
      </w:r>
      <w:proofErr w:type="gramEnd"/>
      <w:r w:rsidRPr="00C36E46">
        <w:t>873/13.01.001/2021-22</w:t>
      </w:r>
    </w:p>
    <w:p w14:paraId="4DF3A87A" w14:textId="77777777" w:rsidR="00B94F8B" w:rsidRPr="00C36E46" w:rsidRDefault="00B94F8B" w:rsidP="00B94F8B">
      <w:r w:rsidRPr="00C36E46">
        <w:t>November 12, 2021</w:t>
      </w:r>
    </w:p>
    <w:p w14:paraId="17933879" w14:textId="77777777" w:rsidR="00B94F8B" w:rsidRPr="00C36E46" w:rsidRDefault="00B94F8B" w:rsidP="00B94F8B">
      <w:r w:rsidRPr="00C36E46">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rsidRPr="00C36E46">
        <w:t>i</w:t>
      </w:r>
      <w:proofErr w:type="spellEnd"/>
      <w:r w:rsidRPr="00C36E46">
        <w:t>) CEPD. PRS. No. 6317/13.01.01/2016-17 dated June 16, 2017; (ii) </w:t>
      </w:r>
      <w:hyperlink r:id="rId6" w:tgtFrame="_blank" w:history="1">
        <w:r w:rsidRPr="00C36E46">
          <w:rPr>
            <w:rStyle w:val="Hyperlink"/>
          </w:rPr>
          <w:t>CEPD. PRS. No. 3590/13.01.004/2017-18 dated February 23, 2018</w:t>
        </w:r>
      </w:hyperlink>
      <w:r w:rsidRPr="00C36E46">
        <w:t>; and (iii) </w:t>
      </w:r>
      <w:hyperlink r:id="rId7" w:tgtFrame="_blank" w:history="1">
        <w:r w:rsidRPr="00C36E46">
          <w:rPr>
            <w:rStyle w:val="Hyperlink"/>
          </w:rPr>
          <w:t>CEPD. PRS. No. 3370/13.01.010/2018-19 dated January 31, 2019</w:t>
        </w:r>
      </w:hyperlink>
      <w:r w:rsidRPr="00C36E46">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rsidRPr="00C36E46">
        <w:t>i</w:t>
      </w:r>
      <w:proofErr w:type="spellEnd"/>
      <w:r w:rsidRPr="00C36E46">
        <w:t>) </w:t>
      </w:r>
      <w:hyperlink r:id="rId8" w:tgtFrame="_blank" w:history="1">
        <w:r w:rsidRPr="00C36E46">
          <w:rPr>
            <w:rStyle w:val="Hyperlink"/>
          </w:rPr>
          <w:t>the Banking Ombudsman Scheme, 2006</w:t>
        </w:r>
      </w:hyperlink>
      <w:r w:rsidRPr="00C36E46">
        <w:t>, as amended up to July 01, 2017; (ii) </w:t>
      </w:r>
      <w:hyperlink r:id="rId9" w:tgtFrame="_blank" w:history="1">
        <w:r w:rsidRPr="00C36E46">
          <w:rPr>
            <w:rStyle w:val="Hyperlink"/>
          </w:rPr>
          <w:t>the Ombudsman Scheme for Non-Banking Financial Companies, 2018</w:t>
        </w:r>
      </w:hyperlink>
      <w:r w:rsidRPr="00C36E46">
        <w:t>; and (iii) </w:t>
      </w:r>
      <w:hyperlink r:id="rId10" w:tgtFrame="_blank" w:history="1">
        <w:r w:rsidRPr="00C36E46">
          <w:rPr>
            <w:rStyle w:val="Hyperlink"/>
          </w:rPr>
          <w:t>the Ombudsman Scheme for Digital Transactions, 2019</w:t>
        </w:r>
      </w:hyperlink>
      <w:r w:rsidRPr="00C36E46">
        <w:t> into the Reserve Bank - Integrated Ombudsman Scheme, 2021 (the Scheme).</w:t>
      </w:r>
    </w:p>
    <w:p w14:paraId="05EA3FDE" w14:textId="77777777" w:rsidR="00B94F8B" w:rsidRPr="00C36E46" w:rsidRDefault="00B94F8B" w:rsidP="00B94F8B">
      <w:r w:rsidRPr="00C36E46">
        <w:t>2. The Scheme covers the following regulated entities:</w:t>
      </w:r>
    </w:p>
    <w:p w14:paraId="06A0ED30" w14:textId="77777777" w:rsidR="00B94F8B" w:rsidRPr="00C36E46" w:rsidRDefault="00B94F8B" w:rsidP="00B94F8B">
      <w:pPr>
        <w:numPr>
          <w:ilvl w:val="0"/>
          <w:numId w:val="1"/>
        </w:numPr>
      </w:pPr>
      <w:r w:rsidRPr="00C36E46">
        <w:t>all Commercial Banks, Regional Rural Banks, Scheduled Primary (Urban) Co-operative Banks and Non-Scheduled Primary (Urban) Co-operative Banks with deposits size of Rupees 50 crore and above as on the date of the audited balance sheet of the previous financial year;</w:t>
      </w:r>
    </w:p>
    <w:p w14:paraId="66B7ED21" w14:textId="77777777" w:rsidR="00B94F8B" w:rsidRPr="00C36E46" w:rsidRDefault="00B94F8B" w:rsidP="00B94F8B">
      <w:pPr>
        <w:numPr>
          <w:ilvl w:val="0"/>
          <w:numId w:val="1"/>
        </w:numPr>
      </w:pPr>
      <w:r w:rsidRPr="00C36E46">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14:paraId="3910E8A6" w14:textId="77777777" w:rsidR="00B94F8B" w:rsidRPr="00C36E46" w:rsidRDefault="00B94F8B" w:rsidP="00B94F8B">
      <w:pPr>
        <w:numPr>
          <w:ilvl w:val="0"/>
          <w:numId w:val="1"/>
        </w:numPr>
      </w:pPr>
      <w:r w:rsidRPr="00C36E46">
        <w:t>all System Participants as defined under the Scheme.</w:t>
      </w:r>
    </w:p>
    <w:p w14:paraId="58BA0417" w14:textId="77777777" w:rsidR="00B94F8B" w:rsidRPr="00C36E46" w:rsidRDefault="00B94F8B" w:rsidP="00B94F8B">
      <w:r w:rsidRPr="00C36E46">
        <w:t>3. The regulated entities shall comply with the Scheme from the date of its implementation.</w:t>
      </w:r>
    </w:p>
    <w:p w14:paraId="733BD3BF" w14:textId="77777777" w:rsidR="00B94F8B" w:rsidRPr="00C36E46" w:rsidRDefault="00B94F8B" w:rsidP="00B94F8B">
      <w:r w:rsidRPr="00C36E46">
        <w:t>4. The format for filing a complaint under the Scheme is </w:t>
      </w:r>
      <w:hyperlink r:id="rId11" w:tgtFrame="_blank" w:history="1">
        <w:r w:rsidRPr="00C36E46">
          <w:rPr>
            <w:rStyle w:val="Hyperlink"/>
          </w:rPr>
          <w:t>annexed</w:t>
        </w:r>
      </w:hyperlink>
      <w:r w:rsidRPr="00C36E46">
        <w:t>.</w:t>
      </w:r>
    </w:p>
    <w:p w14:paraId="59374E15" w14:textId="77777777" w:rsidR="00B94F8B" w:rsidRPr="00C36E46" w:rsidRDefault="00B94F8B" w:rsidP="00B94F8B">
      <w:r w:rsidRPr="00C36E46">
        <w:t>5. The </w:t>
      </w:r>
      <w:hyperlink r:id="rId12" w:tgtFrame="_blank" w:history="1">
        <w:r w:rsidRPr="00C36E46">
          <w:rPr>
            <w:rStyle w:val="Hyperlink"/>
          </w:rPr>
          <w:t>Scheme</w:t>
        </w:r>
      </w:hyperlink>
      <w:r w:rsidRPr="00C36E46">
        <w:t> shall come into force from November 12, 2021.</w:t>
      </w:r>
    </w:p>
    <w:p w14:paraId="39BB53AC" w14:textId="77777777" w:rsidR="00B94F8B" w:rsidRPr="00C36E46" w:rsidRDefault="00B94F8B" w:rsidP="00B94F8B">
      <w:r w:rsidRPr="00C36E46">
        <w:t>(M. K. Jain)</w:t>
      </w:r>
    </w:p>
    <w:p w14:paraId="6285B15E" w14:textId="77777777" w:rsidR="00B94F8B" w:rsidRDefault="00B94F8B" w:rsidP="00B94F8B">
      <w:r>
        <w:t xml:space="preserve">Reference link: </w:t>
      </w:r>
      <w:hyperlink r:id="rId13" w:history="1">
        <w:r w:rsidRPr="00D972C1">
          <w:rPr>
            <w:rStyle w:val="Hyperlink"/>
          </w:rPr>
          <w:t>https://www.rbi.org.in/Scripts/NotificationUser.aspx?Id=12192&amp;Mode=0</w:t>
        </w:r>
      </w:hyperlink>
    </w:p>
    <w:p w14:paraId="3DF252B8" w14:textId="77777777" w:rsidR="00B94F8B" w:rsidRDefault="00B94F8B" w:rsidP="00B94F8B"/>
    <w:p w14:paraId="145C2215" w14:textId="77777777" w:rsidR="00B94F8B" w:rsidRDefault="00B94F8B" w:rsidP="00B94F8B">
      <w:r>
        <w:br w:type="page"/>
      </w:r>
    </w:p>
    <w:p w14:paraId="345C3927" w14:textId="77777777" w:rsidR="00B94F8B" w:rsidRDefault="00B94F8B" w:rsidP="00B94F8B">
      <w:pPr>
        <w:rPr>
          <w:rFonts w:ascii="Arial" w:hAnsi="Arial" w:cs="Arial"/>
          <w:b/>
          <w:bCs/>
          <w:color w:val="000000"/>
          <w:sz w:val="20"/>
          <w:szCs w:val="20"/>
        </w:rPr>
      </w:pPr>
      <w:r>
        <w:rPr>
          <w:rFonts w:ascii="Arial" w:hAnsi="Arial" w:cs="Arial"/>
          <w:b/>
          <w:bCs/>
          <w:color w:val="000000"/>
          <w:sz w:val="20"/>
          <w:szCs w:val="20"/>
        </w:rPr>
        <w:lastRenderedPageBreak/>
        <w:t>Tokenisation – Card Transactions: Permitting Card-on-File Tokenisation (</w:t>
      </w:r>
      <w:proofErr w:type="spellStart"/>
      <w:r>
        <w:rPr>
          <w:rFonts w:ascii="Arial" w:hAnsi="Arial" w:cs="Arial"/>
          <w:b/>
          <w:bCs/>
          <w:color w:val="000000"/>
          <w:sz w:val="20"/>
          <w:szCs w:val="20"/>
        </w:rPr>
        <w:t>CoFT</w:t>
      </w:r>
      <w:proofErr w:type="spellEnd"/>
      <w:r>
        <w:rPr>
          <w:rFonts w:ascii="Arial" w:hAnsi="Arial" w:cs="Arial"/>
          <w:b/>
          <w:bCs/>
          <w:color w:val="000000"/>
          <w:sz w:val="20"/>
          <w:szCs w:val="20"/>
        </w:rPr>
        <w:t>) Services</w:t>
      </w:r>
    </w:p>
    <w:p w14:paraId="51094A4F" w14:textId="77777777" w:rsidR="00B94F8B" w:rsidRPr="003F44F9" w:rsidRDefault="00B94F8B" w:rsidP="00B94F8B">
      <w:r w:rsidRPr="003F44F9">
        <w:t>RBI/2021-22/96</w:t>
      </w:r>
      <w:r w:rsidRPr="003F44F9">
        <w:br/>
        <w:t>CO.DPSS.POLC.No.S-516/02-14-003/2021-22</w:t>
      </w:r>
    </w:p>
    <w:p w14:paraId="6C749AEE" w14:textId="77777777" w:rsidR="00B94F8B" w:rsidRPr="003F44F9" w:rsidRDefault="00B94F8B" w:rsidP="00B94F8B">
      <w:r w:rsidRPr="003F44F9">
        <w:t>September 07, 2021</w:t>
      </w:r>
    </w:p>
    <w:p w14:paraId="50687B52" w14:textId="77777777" w:rsidR="00B94F8B" w:rsidRPr="003F44F9" w:rsidRDefault="00B94F8B" w:rsidP="00B94F8B">
      <w:r w:rsidRPr="003F44F9">
        <w:t>All Payment System Providers and Payment System Participants</w:t>
      </w:r>
    </w:p>
    <w:p w14:paraId="534FD121" w14:textId="77777777" w:rsidR="00B94F8B" w:rsidRPr="003F44F9" w:rsidRDefault="00B94F8B" w:rsidP="00B94F8B">
      <w:r w:rsidRPr="003F44F9">
        <w:t>Madam / Dear Sir,</w:t>
      </w:r>
    </w:p>
    <w:p w14:paraId="3816BEBF" w14:textId="77777777" w:rsidR="00B94F8B" w:rsidRPr="003F44F9" w:rsidRDefault="00B94F8B" w:rsidP="00B94F8B">
      <w:pPr>
        <w:rPr>
          <w:b/>
          <w:bCs/>
        </w:rPr>
      </w:pPr>
      <w:r w:rsidRPr="003F44F9">
        <w:rPr>
          <w:b/>
          <w:bCs/>
          <w:u w:val="single"/>
        </w:rPr>
        <w:t>Tokenisation – Card Transactions: Permitting Card-on-File Tokenisation (</w:t>
      </w:r>
      <w:proofErr w:type="spellStart"/>
      <w:r w:rsidRPr="003F44F9">
        <w:rPr>
          <w:b/>
          <w:bCs/>
          <w:u w:val="single"/>
        </w:rPr>
        <w:t>CoFT</w:t>
      </w:r>
      <w:proofErr w:type="spellEnd"/>
      <w:r w:rsidRPr="003F44F9">
        <w:rPr>
          <w:b/>
          <w:bCs/>
          <w:u w:val="single"/>
        </w:rPr>
        <w:t>) Services</w:t>
      </w:r>
    </w:p>
    <w:p w14:paraId="5BA08478" w14:textId="77777777" w:rsidR="00B94F8B" w:rsidRPr="003F44F9" w:rsidRDefault="00B94F8B" w:rsidP="00B94F8B">
      <w:r w:rsidRPr="003F44F9">
        <w:t>We invite reference to our </w:t>
      </w:r>
      <w:hyperlink r:id="rId14" w:tgtFrame="_blank" w:history="1">
        <w:r w:rsidRPr="003F44F9">
          <w:rPr>
            <w:rStyle w:val="Hyperlink"/>
          </w:rPr>
          <w:t>circular DPSS.CO.PD No.1463/02.14.003/2018-19 dated January 8, 2019</w:t>
        </w:r>
      </w:hyperlink>
      <w:r w:rsidRPr="003F44F9">
        <w:t> on “Tokenisation – Card transactions”, permitting authorised card networks to offer card tokenisation services subject to the conditions listed therein. Initially limited to mobile phones and tablets, this facility was subsequently extended to laptops, desktops, wearables (wrist watches, bands, etc.), Internet of Things (IoT) devices, etc., vide our </w:t>
      </w:r>
      <w:hyperlink r:id="rId15" w:tgtFrame="_blank" w:history="1">
        <w:r w:rsidRPr="003F44F9">
          <w:rPr>
            <w:rStyle w:val="Hyperlink"/>
          </w:rPr>
          <w:t>circular CO.DPSS.POLC.No.S-469/02-14-003/2021-22 dated August 25, 2021</w:t>
        </w:r>
      </w:hyperlink>
      <w:r w:rsidRPr="003F44F9">
        <w:t> on “Tokenisation – Card Transactions : Extending the Scope of Permitted Devices”.</w:t>
      </w:r>
    </w:p>
    <w:p w14:paraId="3806DCB1" w14:textId="77777777" w:rsidR="00B94F8B" w:rsidRPr="003F44F9" w:rsidRDefault="00B94F8B" w:rsidP="00B94F8B">
      <w:r w:rsidRPr="003F44F9">
        <w:t>2. Reference is also invited to our </w:t>
      </w:r>
      <w:hyperlink r:id="rId16" w:tgtFrame="_blank" w:history="1">
        <w:r w:rsidRPr="003F44F9">
          <w:rPr>
            <w:rStyle w:val="Hyperlink"/>
          </w:rPr>
          <w:t>circulars DPSS.CO.PD.No.1810/02.14.008/2019-20 dated March 17, 2020</w:t>
        </w:r>
      </w:hyperlink>
      <w:r w:rsidRPr="003F44F9">
        <w:t> (as updated from time to time) and </w:t>
      </w:r>
      <w:hyperlink r:id="rId17" w:tgtFrame="_blank" w:history="1">
        <w:r w:rsidRPr="003F44F9">
          <w:rPr>
            <w:rStyle w:val="Hyperlink"/>
          </w:rPr>
          <w:t>CO.DPSS.POLC.No.S33/02-14-008/2020-2021 dated March 31, 2021</w:t>
        </w:r>
      </w:hyperlink>
      <w:r w:rsidRPr="003F44F9">
        <w:t> on “Guidelines on Regulation of Payment Aggregators and Payment Gateways”, advising that neither the authorised Payment Aggregators (PAs) nor the merchants on-boarded by them shall store customer card credentials [also known as Card-on-File (</w:t>
      </w:r>
      <w:proofErr w:type="spellStart"/>
      <w:r w:rsidRPr="003F44F9">
        <w:t>CoF</w:t>
      </w:r>
      <w:proofErr w:type="spellEnd"/>
      <w:r w:rsidRPr="003F44F9">
        <w:t>)].</w:t>
      </w:r>
    </w:p>
    <w:p w14:paraId="7A4D37C2" w14:textId="77777777" w:rsidR="00B94F8B" w:rsidRDefault="00B94F8B" w:rsidP="00B94F8B">
      <w:r>
        <w:t xml:space="preserve">More enhancements to the </w:t>
      </w:r>
      <w:proofErr w:type="spellStart"/>
      <w:r>
        <w:t>CoF</w:t>
      </w:r>
      <w:proofErr w:type="spellEnd"/>
      <w:r>
        <w:t xml:space="preserve"> and clarity on interest has been listed in the circular. This can be referred to in the below link. </w:t>
      </w:r>
    </w:p>
    <w:p w14:paraId="7F60F5EC" w14:textId="77777777" w:rsidR="00B94F8B" w:rsidRDefault="00B94F8B" w:rsidP="00B94F8B">
      <w:r>
        <w:t xml:space="preserve">Reference link: </w:t>
      </w:r>
      <w:hyperlink r:id="rId18" w:history="1">
        <w:r w:rsidRPr="00D972C1">
          <w:rPr>
            <w:rStyle w:val="Hyperlink"/>
          </w:rPr>
          <w:t>https://www.rbi.org.in/Scripts/NotificationUser.aspx?Id=12159&amp;Mode=0</w:t>
        </w:r>
      </w:hyperlink>
    </w:p>
    <w:p w14:paraId="56CD3A22" w14:textId="67A18EA9" w:rsidR="009975ED" w:rsidRDefault="009975ED"/>
    <w:p w14:paraId="3BEACBB3" w14:textId="399577DB" w:rsidR="00B94F8B" w:rsidRDefault="00B94F8B"/>
    <w:p w14:paraId="3623E0A1" w14:textId="196D52B0" w:rsidR="00B94F8B" w:rsidRDefault="00B94F8B"/>
    <w:p w14:paraId="1209E762" w14:textId="20FE4BFB" w:rsidR="00B94F8B" w:rsidRDefault="00B94F8B"/>
    <w:p w14:paraId="56B5AA8F" w14:textId="125D09A4" w:rsidR="00B94F8B" w:rsidRDefault="00B94F8B"/>
    <w:p w14:paraId="16479C51" w14:textId="54448AB1" w:rsidR="00B94F8B" w:rsidRDefault="00B94F8B"/>
    <w:p w14:paraId="64899C23" w14:textId="0E37E3E1" w:rsidR="00B94F8B" w:rsidRDefault="00B94F8B"/>
    <w:p w14:paraId="112DD734" w14:textId="26A59CAA" w:rsidR="00B94F8B" w:rsidRDefault="00B94F8B"/>
    <w:p w14:paraId="3A77F721" w14:textId="275090DF" w:rsidR="00B94F8B" w:rsidRDefault="00B94F8B"/>
    <w:p w14:paraId="58D2735B" w14:textId="1CA05AAE" w:rsidR="00B94F8B" w:rsidRDefault="00B94F8B"/>
    <w:p w14:paraId="4EC378E9" w14:textId="3C026939" w:rsidR="00B94F8B" w:rsidRDefault="00B94F8B"/>
    <w:p w14:paraId="438B7CBC" w14:textId="593D07A5" w:rsidR="00B94F8B" w:rsidRDefault="00B94F8B"/>
    <w:p w14:paraId="155B2C7F" w14:textId="65C6B8A9" w:rsidR="00B94F8B" w:rsidRDefault="00B94F8B"/>
    <w:p w14:paraId="0B666A9E" w14:textId="77777777" w:rsidR="00B94F8B" w:rsidRDefault="00B94F8B" w:rsidP="00B94F8B">
      <w:pPr>
        <w:rPr>
          <w:rFonts w:ascii="Arial" w:hAnsi="Arial" w:cs="Arial"/>
          <w:b/>
          <w:bCs/>
          <w:color w:val="000000"/>
          <w:sz w:val="20"/>
          <w:szCs w:val="20"/>
        </w:rPr>
      </w:pPr>
      <w:r>
        <w:rPr>
          <w:rFonts w:ascii="Arial" w:hAnsi="Arial" w:cs="Arial"/>
          <w:b/>
          <w:bCs/>
          <w:color w:val="000000"/>
          <w:sz w:val="20"/>
          <w:szCs w:val="20"/>
        </w:rPr>
        <w:lastRenderedPageBreak/>
        <w:t xml:space="preserve">Tokenisation – Card </w:t>
      </w:r>
      <w:proofErr w:type="gramStart"/>
      <w:r>
        <w:rPr>
          <w:rFonts w:ascii="Arial" w:hAnsi="Arial" w:cs="Arial"/>
          <w:b/>
          <w:bCs/>
          <w:color w:val="000000"/>
          <w:sz w:val="20"/>
          <w:szCs w:val="20"/>
        </w:rPr>
        <w:t>Transactions :</w:t>
      </w:r>
      <w:proofErr w:type="gramEnd"/>
      <w:r>
        <w:rPr>
          <w:rFonts w:ascii="Arial" w:hAnsi="Arial" w:cs="Arial"/>
          <w:b/>
          <w:bCs/>
          <w:color w:val="000000"/>
          <w:sz w:val="20"/>
          <w:szCs w:val="20"/>
        </w:rPr>
        <w:t xml:space="preserve"> Extending the Scope of Permitted Devices</w:t>
      </w:r>
    </w:p>
    <w:p w14:paraId="7314DC81" w14:textId="77777777" w:rsidR="00B94F8B" w:rsidRPr="002917C6" w:rsidRDefault="00B94F8B" w:rsidP="00B94F8B">
      <w:r w:rsidRPr="002917C6">
        <w:t>RBI/2021-22/92</w:t>
      </w:r>
      <w:r w:rsidRPr="002917C6">
        <w:br/>
        <w:t>CO.DPSS.POLC.No.S-469/02-14-003/2021-22</w:t>
      </w:r>
    </w:p>
    <w:p w14:paraId="025C280B" w14:textId="77777777" w:rsidR="00B94F8B" w:rsidRPr="002917C6" w:rsidRDefault="00B94F8B" w:rsidP="00B94F8B">
      <w:r w:rsidRPr="002917C6">
        <w:t>August 25, 2021</w:t>
      </w:r>
    </w:p>
    <w:p w14:paraId="2478E61F" w14:textId="77777777" w:rsidR="00B94F8B" w:rsidRPr="002917C6" w:rsidRDefault="00B94F8B" w:rsidP="00B94F8B">
      <w:r w:rsidRPr="002917C6">
        <w:t>The Chief Executive Officer / President</w:t>
      </w:r>
      <w:r w:rsidRPr="002917C6">
        <w:br/>
        <w:t>All authorised card networks</w:t>
      </w:r>
    </w:p>
    <w:p w14:paraId="4D20E89D" w14:textId="77777777" w:rsidR="00B94F8B" w:rsidRPr="002917C6" w:rsidRDefault="00B94F8B" w:rsidP="00B94F8B">
      <w:r w:rsidRPr="002917C6">
        <w:t>Madam / Dear Sir,</w:t>
      </w:r>
    </w:p>
    <w:p w14:paraId="0288A61B" w14:textId="77777777" w:rsidR="00B94F8B" w:rsidRPr="002917C6" w:rsidRDefault="00B94F8B" w:rsidP="00B94F8B">
      <w:pPr>
        <w:rPr>
          <w:b/>
          <w:bCs/>
        </w:rPr>
      </w:pPr>
      <w:r w:rsidRPr="002917C6">
        <w:rPr>
          <w:b/>
          <w:bCs/>
          <w:u w:val="single"/>
        </w:rPr>
        <w:t xml:space="preserve">Tokenisation – Card </w:t>
      </w:r>
      <w:proofErr w:type="gramStart"/>
      <w:r w:rsidRPr="002917C6">
        <w:rPr>
          <w:b/>
          <w:bCs/>
          <w:u w:val="single"/>
        </w:rPr>
        <w:t>Transactions :</w:t>
      </w:r>
      <w:proofErr w:type="gramEnd"/>
      <w:r w:rsidRPr="002917C6">
        <w:rPr>
          <w:b/>
          <w:bCs/>
          <w:u w:val="single"/>
        </w:rPr>
        <w:t xml:space="preserve"> Extending the Scope of Permitted Devices</w:t>
      </w:r>
    </w:p>
    <w:p w14:paraId="4F590FD5" w14:textId="77777777" w:rsidR="00B94F8B" w:rsidRPr="002917C6" w:rsidRDefault="00B94F8B" w:rsidP="00B94F8B">
      <w:r w:rsidRPr="002917C6">
        <w:t>We invite reference to our </w:t>
      </w:r>
      <w:hyperlink r:id="rId19" w:tgtFrame="_blank" w:history="1">
        <w:r w:rsidRPr="002917C6">
          <w:rPr>
            <w:rStyle w:val="Hyperlink"/>
          </w:rPr>
          <w:t>circular DPSS.CO.PD No.1463/02.14.003/2018-19 dated January 08, 2019</w:t>
        </w:r>
      </w:hyperlink>
      <w:r w:rsidRPr="002917C6">
        <w:t> on “Tokenisation – Card transactions”, permitting authorised card networks to offer card tokenisation services to any token requestor, subject to the conditions listed therein. The facility was available only for mobile phones and tablets of interested card holders. There has been an uptake in the volume of tokenised card transactions during the recent months.</w:t>
      </w:r>
    </w:p>
    <w:p w14:paraId="26C136CC" w14:textId="77777777" w:rsidR="00B94F8B" w:rsidRPr="002917C6" w:rsidRDefault="00B94F8B" w:rsidP="00B94F8B">
      <w:r w:rsidRPr="002917C6">
        <w:t>2. On a review of the framework and keeping in view stakeholder feedback, it has been decided to extend the scope of tokenisation to include consumer devices – laptops, desktops, wearables (wrist watches, bands, etc.), Internet of Things (IoT) devices, etc. All other provisions of the circular referred to above shall continue to be applicable. This initiative is expected to make card transactions more safe, secure and convenient for the users.</w:t>
      </w:r>
    </w:p>
    <w:p w14:paraId="5D600779" w14:textId="77777777" w:rsidR="00B94F8B" w:rsidRPr="002917C6" w:rsidRDefault="00B94F8B" w:rsidP="00B94F8B">
      <w:r w:rsidRPr="002917C6">
        <w:t>3. This directive is issued under Section 10 (2) read with Section 18 of Payment and Settlement Systems Act, 2007 (Act 51 of 2007).</w:t>
      </w:r>
    </w:p>
    <w:p w14:paraId="480BA537" w14:textId="77777777" w:rsidR="00B94F8B" w:rsidRPr="002917C6" w:rsidRDefault="00B94F8B" w:rsidP="00B94F8B">
      <w:r w:rsidRPr="002917C6">
        <w:t>Yours faithfully,</w:t>
      </w:r>
    </w:p>
    <w:p w14:paraId="01CE1D47" w14:textId="77777777" w:rsidR="00B94F8B" w:rsidRPr="002917C6" w:rsidRDefault="00B94F8B" w:rsidP="00B94F8B">
      <w:r w:rsidRPr="002917C6">
        <w:t>(P. Vasudevan)</w:t>
      </w:r>
      <w:r w:rsidRPr="002917C6">
        <w:br/>
        <w:t>Chief General Manager</w:t>
      </w:r>
    </w:p>
    <w:p w14:paraId="5B45EEA7" w14:textId="77777777" w:rsidR="00B94F8B" w:rsidRDefault="00B94F8B" w:rsidP="00B94F8B">
      <w:r>
        <w:t xml:space="preserve">Reference link: </w:t>
      </w:r>
      <w:hyperlink r:id="rId20" w:history="1">
        <w:r w:rsidRPr="00D972C1">
          <w:rPr>
            <w:rStyle w:val="Hyperlink"/>
          </w:rPr>
          <w:t>https://www.rbi.org.in/Scripts/NotificationUser.aspx?Id=12152&amp;Mode=0</w:t>
        </w:r>
      </w:hyperlink>
    </w:p>
    <w:p w14:paraId="13A711E6" w14:textId="7011AFB8" w:rsidR="00B94F8B" w:rsidRDefault="00B94F8B"/>
    <w:p w14:paraId="718F0AC5" w14:textId="179D1B2F" w:rsidR="00B94F8B" w:rsidRDefault="00B94F8B"/>
    <w:p w14:paraId="0128980B" w14:textId="0D5D99CB" w:rsidR="00B94F8B" w:rsidRDefault="00B94F8B"/>
    <w:p w14:paraId="5AE1B246" w14:textId="1F810F3F" w:rsidR="00B94F8B" w:rsidRDefault="00B94F8B"/>
    <w:p w14:paraId="35329D95" w14:textId="71D431B8" w:rsidR="00B94F8B" w:rsidRDefault="00B94F8B"/>
    <w:p w14:paraId="748462D1" w14:textId="15CFD940" w:rsidR="00B94F8B" w:rsidRDefault="00B94F8B"/>
    <w:p w14:paraId="61CE2053" w14:textId="3BBAF335" w:rsidR="00B94F8B" w:rsidRDefault="00B94F8B"/>
    <w:p w14:paraId="0E11170B" w14:textId="40ADABDB" w:rsidR="00B94F8B" w:rsidRDefault="00B94F8B"/>
    <w:p w14:paraId="61A6C680" w14:textId="561A0373" w:rsidR="00B94F8B" w:rsidRDefault="00B94F8B"/>
    <w:p w14:paraId="3F0342A5" w14:textId="7B20950C" w:rsidR="00B94F8B" w:rsidRDefault="00B94F8B"/>
    <w:p w14:paraId="2C02D6C9" w14:textId="03F6A661" w:rsidR="00B94F8B" w:rsidRDefault="00B94F8B"/>
    <w:p w14:paraId="57990721" w14:textId="77777777" w:rsidR="00B94F8B" w:rsidRDefault="00B94F8B" w:rsidP="00B94F8B">
      <w:pPr>
        <w:rPr>
          <w:rFonts w:ascii="Arial" w:hAnsi="Arial" w:cs="Arial"/>
          <w:b/>
          <w:bCs/>
          <w:color w:val="000000"/>
          <w:sz w:val="20"/>
          <w:szCs w:val="20"/>
        </w:rPr>
      </w:pPr>
      <w:r>
        <w:rPr>
          <w:rFonts w:ascii="Arial" w:hAnsi="Arial" w:cs="Arial"/>
          <w:b/>
          <w:bCs/>
          <w:color w:val="000000"/>
          <w:sz w:val="20"/>
          <w:szCs w:val="20"/>
        </w:rPr>
        <w:lastRenderedPageBreak/>
        <w:t>Monitoring of Availability of Cash in ATMs</w:t>
      </w:r>
    </w:p>
    <w:p w14:paraId="24B34F43" w14:textId="77777777" w:rsidR="00B94F8B" w:rsidRPr="00EC1FAC" w:rsidRDefault="00B94F8B" w:rsidP="00B94F8B">
      <w:r w:rsidRPr="00EC1FAC">
        <w:t>RBI/2021-22/84</w:t>
      </w:r>
      <w:r w:rsidRPr="00EC1FAC">
        <w:br/>
        <w:t>DCM (RMMT) No.S153/11.01.01/2021-22</w:t>
      </w:r>
    </w:p>
    <w:p w14:paraId="0DF481C1" w14:textId="77777777" w:rsidR="00B94F8B" w:rsidRPr="00EC1FAC" w:rsidRDefault="00B94F8B" w:rsidP="00B94F8B">
      <w:r w:rsidRPr="00EC1FAC">
        <w:t>August 10, 2021</w:t>
      </w:r>
    </w:p>
    <w:p w14:paraId="7822765E" w14:textId="77777777" w:rsidR="00B94F8B" w:rsidRPr="00EC1FAC" w:rsidRDefault="00B94F8B" w:rsidP="00B94F8B">
      <w:r w:rsidRPr="00EC1FAC">
        <w:t>The Chairman /</w:t>
      </w:r>
      <w:r w:rsidRPr="00EC1FAC">
        <w:br/>
        <w:t>Managing Director &amp; CEO</w:t>
      </w:r>
      <w:r w:rsidRPr="00EC1FAC">
        <w:br/>
        <w:t>All Banks</w:t>
      </w:r>
    </w:p>
    <w:p w14:paraId="5D23E943" w14:textId="77777777" w:rsidR="00B94F8B" w:rsidRPr="00EC1FAC" w:rsidRDefault="00B94F8B" w:rsidP="00B94F8B">
      <w:r w:rsidRPr="00EC1FAC">
        <w:t>Dear Sir / Madam,</w:t>
      </w:r>
    </w:p>
    <w:p w14:paraId="45B88595" w14:textId="77777777" w:rsidR="00B94F8B" w:rsidRPr="00EC1FAC" w:rsidRDefault="00B94F8B" w:rsidP="00B94F8B">
      <w:pPr>
        <w:rPr>
          <w:b/>
          <w:bCs/>
        </w:rPr>
      </w:pPr>
      <w:r w:rsidRPr="00EC1FAC">
        <w:rPr>
          <w:b/>
          <w:bCs/>
        </w:rPr>
        <w:t>Monitoring of Availability of Cash in ATMs</w:t>
      </w:r>
    </w:p>
    <w:p w14:paraId="52E98197" w14:textId="77777777" w:rsidR="00B94F8B" w:rsidRPr="00EC1FAC" w:rsidRDefault="00B94F8B" w:rsidP="00B94F8B">
      <w:r w:rsidRPr="00EC1FAC">
        <w:t>As you are aware, the Reserve Bank of India has a mandate to issue banknotes and the banks are fulfilling this mandate by dispensing banknotes to the public through their wide network of branches and ATMs. In this connection, a review of downtime of ATMs due to cash-outs was undertaken and it was observed that ATM operations affected by cash-outs lead to non-availability of cash and cause avoidable inconvenience to the members of the public.</w:t>
      </w:r>
    </w:p>
    <w:p w14:paraId="631D5D3D" w14:textId="77777777" w:rsidR="00B94F8B" w:rsidRPr="00EC1FAC" w:rsidRDefault="00B94F8B" w:rsidP="00B94F8B">
      <w:r w:rsidRPr="00EC1FAC">
        <w:t>2. It has, therefore, been decided that the banks/ White Label ATM Operators (WLAOs) shall strengthen their systems/ mechanisms to monitor availability of cash in ATMs and ensure timely replenishment to avoid cash-outs. Any non-compliance in this regard shall be viewed seriously and shall attract monetary penalty as stipulated in the </w:t>
      </w:r>
      <w:r w:rsidRPr="00EC1FAC">
        <w:rPr>
          <w:b/>
          <w:bCs/>
        </w:rPr>
        <w:t>“Scheme of Penalty for non-replenishment of ATMs”</w:t>
      </w:r>
      <w:r w:rsidRPr="00EC1FAC">
        <w:t> in the </w:t>
      </w:r>
      <w:hyperlink r:id="rId21" w:anchor="ANN1" w:history="1">
        <w:r w:rsidRPr="00EC1FAC">
          <w:rPr>
            <w:rStyle w:val="Hyperlink"/>
          </w:rPr>
          <w:t>Annex</w:t>
        </w:r>
      </w:hyperlink>
      <w:r w:rsidRPr="00EC1FAC">
        <w:t>. The Scheme shall be effective from October 01, 2021.</w:t>
      </w:r>
    </w:p>
    <w:p w14:paraId="788ECFC3" w14:textId="77777777" w:rsidR="00B94F8B" w:rsidRPr="00EC1FAC" w:rsidRDefault="00B94F8B" w:rsidP="00B94F8B">
      <w:r w:rsidRPr="00EC1FAC">
        <w:t>Yours faithfully,</w:t>
      </w:r>
    </w:p>
    <w:p w14:paraId="19C56D8B" w14:textId="77777777" w:rsidR="00B94F8B" w:rsidRPr="00EC1FAC" w:rsidRDefault="00B94F8B" w:rsidP="00B94F8B">
      <w:r w:rsidRPr="00EC1FAC">
        <w:t>(Subrata Das)</w:t>
      </w:r>
      <w:r w:rsidRPr="00EC1FAC">
        <w:br/>
        <w:t>Chief General Manager-in-Charge</w:t>
      </w:r>
    </w:p>
    <w:p w14:paraId="46083128" w14:textId="77777777" w:rsidR="00B94F8B" w:rsidRPr="00EC1FAC" w:rsidRDefault="00B94F8B" w:rsidP="00B94F8B">
      <w:proofErr w:type="spellStart"/>
      <w:r w:rsidRPr="00EC1FAC">
        <w:t>Encl</w:t>
      </w:r>
      <w:proofErr w:type="spellEnd"/>
      <w:r w:rsidRPr="00EC1FAC">
        <w:t>: As above</w:t>
      </w:r>
    </w:p>
    <w:p w14:paraId="4352A632" w14:textId="77777777" w:rsidR="00B94F8B" w:rsidRDefault="00B94F8B" w:rsidP="00B94F8B">
      <w:r>
        <w:t xml:space="preserve">Reference link: </w:t>
      </w:r>
      <w:hyperlink r:id="rId22" w:history="1">
        <w:r w:rsidRPr="00D972C1">
          <w:rPr>
            <w:rStyle w:val="Hyperlink"/>
          </w:rPr>
          <w:t>https://www.rbi.org.in/Scripts/NotificationUser.aspx?Id=12144&amp;Mode=0</w:t>
        </w:r>
      </w:hyperlink>
    </w:p>
    <w:p w14:paraId="5A99C149" w14:textId="24F6F729" w:rsidR="00B94F8B" w:rsidRDefault="00B94F8B"/>
    <w:p w14:paraId="3174B384" w14:textId="65179DB3" w:rsidR="00B94F8B" w:rsidRDefault="00B94F8B"/>
    <w:p w14:paraId="5609D88F" w14:textId="52C5BB71" w:rsidR="00B94F8B" w:rsidRDefault="00B94F8B"/>
    <w:p w14:paraId="06B4C18F" w14:textId="5F7246D1" w:rsidR="00B94F8B" w:rsidRDefault="00B94F8B"/>
    <w:p w14:paraId="3E139EC9" w14:textId="11BF5D37" w:rsidR="00B94F8B" w:rsidRDefault="00B94F8B"/>
    <w:p w14:paraId="7567B270" w14:textId="26355A04" w:rsidR="00B94F8B" w:rsidRDefault="00B94F8B"/>
    <w:p w14:paraId="67CB1182" w14:textId="746BA20F" w:rsidR="00B94F8B" w:rsidRDefault="00B94F8B"/>
    <w:p w14:paraId="603500A0" w14:textId="6C65D89B" w:rsidR="00B94F8B" w:rsidRDefault="00B94F8B"/>
    <w:p w14:paraId="1A33B463" w14:textId="4C9BFA07" w:rsidR="00B94F8B" w:rsidRDefault="00B94F8B"/>
    <w:p w14:paraId="16D3C400" w14:textId="5512E53A" w:rsidR="00B94F8B" w:rsidRDefault="00B94F8B"/>
    <w:p w14:paraId="50F0C8DF" w14:textId="4056F4F1" w:rsidR="00B94F8B" w:rsidRDefault="00B94F8B"/>
    <w:p w14:paraId="054C223C" w14:textId="77777777" w:rsidR="00B94F8B" w:rsidRDefault="00B94F8B" w:rsidP="00B94F8B">
      <w:pPr>
        <w:rPr>
          <w:rFonts w:ascii="Arial" w:hAnsi="Arial" w:cs="Arial"/>
          <w:b/>
          <w:bCs/>
          <w:color w:val="000000"/>
          <w:sz w:val="20"/>
          <w:szCs w:val="20"/>
        </w:rPr>
      </w:pPr>
      <w:r>
        <w:rPr>
          <w:rFonts w:ascii="Arial" w:hAnsi="Arial" w:cs="Arial"/>
          <w:b/>
          <w:bCs/>
          <w:color w:val="000000"/>
          <w:sz w:val="20"/>
          <w:szCs w:val="20"/>
        </w:rPr>
        <w:lastRenderedPageBreak/>
        <w:t>Framework for Outsourcing of Payment and Settlement-related Activities by Payment System Operators</w:t>
      </w:r>
    </w:p>
    <w:p w14:paraId="54CA01C1" w14:textId="77777777" w:rsidR="00B94F8B" w:rsidRPr="008A4010" w:rsidRDefault="00B94F8B" w:rsidP="00B94F8B">
      <w:r w:rsidRPr="008A4010">
        <w:t>RBI/2021-22/76</w:t>
      </w:r>
      <w:r w:rsidRPr="008A4010">
        <w:br/>
        <w:t>CO.DPSS.POLC.No.S-384/02.32.001/2021-2022</w:t>
      </w:r>
    </w:p>
    <w:p w14:paraId="64B23E86" w14:textId="77777777" w:rsidR="00B94F8B" w:rsidRPr="008A4010" w:rsidRDefault="00B94F8B" w:rsidP="00B94F8B">
      <w:r w:rsidRPr="008A4010">
        <w:t>August 3, 2021</w:t>
      </w:r>
    </w:p>
    <w:p w14:paraId="25158CB9" w14:textId="77777777" w:rsidR="00B94F8B" w:rsidRPr="008A4010" w:rsidRDefault="00B94F8B" w:rsidP="00B94F8B">
      <w:r w:rsidRPr="008A4010">
        <w:t>The Chairman / Managing Director / Chief Executive Officer</w:t>
      </w:r>
      <w:r w:rsidRPr="008A4010">
        <w:br/>
        <w:t>All Non-Bank Payment System Operators</w:t>
      </w:r>
    </w:p>
    <w:p w14:paraId="46C45A37" w14:textId="77777777" w:rsidR="00B94F8B" w:rsidRPr="008A4010" w:rsidRDefault="00B94F8B" w:rsidP="00B94F8B">
      <w:r w:rsidRPr="008A4010">
        <w:t>Madam / Dear Sir,</w:t>
      </w:r>
    </w:p>
    <w:p w14:paraId="75C5D4FB" w14:textId="77777777" w:rsidR="00B94F8B" w:rsidRPr="008A4010" w:rsidRDefault="00B94F8B" w:rsidP="00B94F8B">
      <w:pPr>
        <w:rPr>
          <w:b/>
          <w:bCs/>
        </w:rPr>
      </w:pPr>
      <w:r w:rsidRPr="008A4010">
        <w:rPr>
          <w:b/>
          <w:bCs/>
        </w:rPr>
        <w:t>Framework for Outsourcing of Payment and Settlement-related Activities by Payment System Operators</w:t>
      </w:r>
    </w:p>
    <w:p w14:paraId="41889BB1" w14:textId="77777777" w:rsidR="00B94F8B" w:rsidRPr="008A4010" w:rsidRDefault="00B94F8B" w:rsidP="00B94F8B">
      <w:r w:rsidRPr="008A4010">
        <w:t>The Payment System Operators (PSOs), by virtue of services they provide and the construct of models on which they operate, largely outsource their payment and settlement-related activities to various other entities.</w:t>
      </w:r>
    </w:p>
    <w:p w14:paraId="30C9AE8B" w14:textId="77777777" w:rsidR="00B94F8B" w:rsidRPr="008A4010" w:rsidRDefault="00B94F8B" w:rsidP="00B94F8B">
      <w:r w:rsidRPr="008A4010">
        <w:t>2. In order to enable effective management of attendant risks in outsourcing of such activities, it was announced in the </w:t>
      </w:r>
      <w:hyperlink r:id="rId23" w:tgtFrame="_blank" w:history="1">
        <w:r w:rsidRPr="008A4010">
          <w:rPr>
            <w:rStyle w:val="Hyperlink"/>
          </w:rPr>
          <w:t>Statement on Developmental and Regulatory Policies</w:t>
        </w:r>
      </w:hyperlink>
      <w:r w:rsidRPr="008A4010">
        <w:t> released with the </w:t>
      </w:r>
      <w:hyperlink r:id="rId24" w:tgtFrame="_blank" w:history="1">
        <w:r w:rsidRPr="008A4010">
          <w:rPr>
            <w:rStyle w:val="Hyperlink"/>
          </w:rPr>
          <w:t>bi-monthly Monetary Policy Statement 2020-21 on February 05, 2021</w:t>
        </w:r>
      </w:hyperlink>
      <w:r w:rsidRPr="008A4010">
        <w:t>, that a framework for outsourcing of payment and settlement-related activities by PSOs, will be issued by the Reserve Bank of India. Accordingly, a framework for the same is provided in the </w:t>
      </w:r>
      <w:hyperlink r:id="rId25" w:anchor="AN_1" w:history="1">
        <w:r w:rsidRPr="008A4010">
          <w:rPr>
            <w:rStyle w:val="Hyperlink"/>
          </w:rPr>
          <w:t>Annex</w:t>
        </w:r>
      </w:hyperlink>
      <w:r w:rsidRPr="008A4010">
        <w:t>. The PSOs shall ensure that all their outsourcing arrangements, including the existing ones, are in compliance with this framework by March 31, 2022.</w:t>
      </w:r>
    </w:p>
    <w:p w14:paraId="4439CAC9" w14:textId="77777777" w:rsidR="00B94F8B" w:rsidRPr="008A4010" w:rsidRDefault="00B94F8B" w:rsidP="00B94F8B">
      <w:r w:rsidRPr="008A4010">
        <w:t>3. This framework is issued under Section 10 (2) read with Section 18 of Payment and Settlement Systems Act, 2007 (Act 51 of 2007).</w:t>
      </w:r>
    </w:p>
    <w:p w14:paraId="78255503" w14:textId="77777777" w:rsidR="00B94F8B" w:rsidRPr="008A4010" w:rsidRDefault="00B94F8B" w:rsidP="00B94F8B">
      <w:r w:rsidRPr="008A4010">
        <w:t>Yours faithfully,</w:t>
      </w:r>
    </w:p>
    <w:p w14:paraId="4B3B45AE" w14:textId="77777777" w:rsidR="00B94F8B" w:rsidRPr="008A4010" w:rsidRDefault="00B94F8B" w:rsidP="00B94F8B">
      <w:r w:rsidRPr="008A4010">
        <w:t>(P Vasudevan)</w:t>
      </w:r>
      <w:r w:rsidRPr="008A4010">
        <w:br/>
        <w:t>Chief General Manager</w:t>
      </w:r>
    </w:p>
    <w:p w14:paraId="3BED0C23" w14:textId="77777777" w:rsidR="00B94F8B" w:rsidRDefault="00B94F8B" w:rsidP="00B94F8B">
      <w:r>
        <w:t xml:space="preserve">Reference link: </w:t>
      </w:r>
      <w:hyperlink r:id="rId26" w:history="1">
        <w:r w:rsidRPr="00D972C1">
          <w:rPr>
            <w:rStyle w:val="Hyperlink"/>
          </w:rPr>
          <w:t>https://www.rbi.org.in/Scripts/NotificationUser.aspx?Id=12136&amp;Mode=0</w:t>
        </w:r>
      </w:hyperlink>
    </w:p>
    <w:p w14:paraId="62FFAAE6" w14:textId="0FF77216" w:rsidR="00B94F8B" w:rsidRDefault="00B94F8B"/>
    <w:p w14:paraId="22E06187" w14:textId="150A3FFA" w:rsidR="00B94F8B" w:rsidRDefault="00B94F8B"/>
    <w:p w14:paraId="45451BAF" w14:textId="0743D574" w:rsidR="00B94F8B" w:rsidRDefault="00B94F8B"/>
    <w:p w14:paraId="5060848D" w14:textId="21CA0505" w:rsidR="00B94F8B" w:rsidRDefault="00B94F8B"/>
    <w:p w14:paraId="5E2F4497" w14:textId="56674266" w:rsidR="00B94F8B" w:rsidRDefault="00B94F8B"/>
    <w:p w14:paraId="526B3253" w14:textId="757669E0" w:rsidR="00B94F8B" w:rsidRDefault="00B94F8B"/>
    <w:p w14:paraId="5AC89A67" w14:textId="5CD84E23" w:rsidR="00B94F8B" w:rsidRDefault="00B94F8B"/>
    <w:p w14:paraId="713A840E" w14:textId="6CE90A24" w:rsidR="00B94F8B" w:rsidRDefault="00B94F8B"/>
    <w:p w14:paraId="4336E710" w14:textId="2C4B1E84" w:rsidR="00B94F8B" w:rsidRDefault="00B94F8B"/>
    <w:p w14:paraId="58DE6F4A" w14:textId="686052B5" w:rsidR="00B94F8B" w:rsidRDefault="00B94F8B"/>
    <w:p w14:paraId="1D57DC60" w14:textId="77777777" w:rsidR="00B94F8B" w:rsidRDefault="00B94F8B" w:rsidP="00B94F8B">
      <w:pPr>
        <w:rPr>
          <w:rFonts w:ascii="Arial" w:hAnsi="Arial" w:cs="Arial"/>
          <w:b/>
          <w:bCs/>
          <w:color w:val="000000"/>
          <w:sz w:val="20"/>
          <w:szCs w:val="20"/>
        </w:rPr>
      </w:pPr>
      <w:r>
        <w:rPr>
          <w:rFonts w:ascii="Arial" w:hAnsi="Arial" w:cs="Arial"/>
          <w:b/>
          <w:bCs/>
          <w:color w:val="000000"/>
          <w:sz w:val="20"/>
          <w:szCs w:val="20"/>
        </w:rPr>
        <w:lastRenderedPageBreak/>
        <w:t>Cassette - Swaps in ATMs</w:t>
      </w:r>
    </w:p>
    <w:p w14:paraId="4EAE14A2" w14:textId="77777777" w:rsidR="00B94F8B" w:rsidRPr="005D268C" w:rsidRDefault="00B94F8B" w:rsidP="00B94F8B">
      <w:r w:rsidRPr="005D268C">
        <w:t>RBI/2021-22/71</w:t>
      </w:r>
      <w:r w:rsidRPr="005D268C">
        <w:br/>
        <w:t>DCM (</w:t>
      </w:r>
      <w:proofErr w:type="spellStart"/>
      <w:r w:rsidRPr="005D268C">
        <w:t>Plg</w:t>
      </w:r>
      <w:proofErr w:type="spellEnd"/>
      <w:r w:rsidRPr="005D268C">
        <w:t xml:space="preserve">.) </w:t>
      </w:r>
      <w:proofErr w:type="gramStart"/>
      <w:r w:rsidRPr="005D268C">
        <w:t>No.S</w:t>
      </w:r>
      <w:proofErr w:type="gramEnd"/>
      <w:r w:rsidRPr="005D268C">
        <w:t>39/10.25.007/2021-22</w:t>
      </w:r>
    </w:p>
    <w:p w14:paraId="075A68D1" w14:textId="77777777" w:rsidR="00B94F8B" w:rsidRPr="005D268C" w:rsidRDefault="00B94F8B" w:rsidP="00B94F8B">
      <w:r w:rsidRPr="005D268C">
        <w:t>July 12, 2021</w:t>
      </w:r>
    </w:p>
    <w:p w14:paraId="3273C4DC" w14:textId="77777777" w:rsidR="00B94F8B" w:rsidRPr="005D268C" w:rsidRDefault="00B94F8B" w:rsidP="00B94F8B">
      <w:r w:rsidRPr="005D268C">
        <w:t>The Chairman / Managing Director &amp; Chief Executive Officer</w:t>
      </w:r>
      <w:r w:rsidRPr="005D268C">
        <w:br/>
        <w:t>All Scheduled Commercial Banks including RRBs</w:t>
      </w:r>
      <w:r w:rsidRPr="005D268C">
        <w:br/>
        <w:t>Urban Co-operative Banks / State Co-operative Banks /</w:t>
      </w:r>
      <w:r w:rsidRPr="005D268C">
        <w:br/>
        <w:t>District Central Co-operative Banks.</w:t>
      </w:r>
    </w:p>
    <w:p w14:paraId="1E5408D6" w14:textId="77777777" w:rsidR="00B94F8B" w:rsidRPr="005D268C" w:rsidRDefault="00B94F8B" w:rsidP="00B94F8B">
      <w:r w:rsidRPr="005D268C">
        <w:t>Madam / Dear Sir,</w:t>
      </w:r>
    </w:p>
    <w:p w14:paraId="18E3B636" w14:textId="77777777" w:rsidR="00B94F8B" w:rsidRPr="005D268C" w:rsidRDefault="00B94F8B" w:rsidP="00B94F8B">
      <w:pPr>
        <w:rPr>
          <w:b/>
          <w:bCs/>
        </w:rPr>
      </w:pPr>
      <w:r w:rsidRPr="005D268C">
        <w:rPr>
          <w:b/>
          <w:bCs/>
        </w:rPr>
        <w:t>Cassette - Swaps in ATMs</w:t>
      </w:r>
    </w:p>
    <w:p w14:paraId="72D1FF7E" w14:textId="77777777" w:rsidR="00B94F8B" w:rsidRPr="005D268C" w:rsidRDefault="00B94F8B" w:rsidP="00B94F8B">
      <w:r w:rsidRPr="005D268C">
        <w:t>Please refer to our </w:t>
      </w:r>
      <w:hyperlink r:id="rId27" w:tgtFrame="_blank" w:history="1">
        <w:r w:rsidRPr="005D268C">
          <w:rPr>
            <w:rStyle w:val="Hyperlink"/>
          </w:rPr>
          <w:t>circular RBI/2017-18/162/DCM (</w:t>
        </w:r>
        <w:proofErr w:type="spellStart"/>
        <w:r w:rsidRPr="005D268C">
          <w:rPr>
            <w:rStyle w:val="Hyperlink"/>
          </w:rPr>
          <w:t>Plg</w:t>
        </w:r>
        <w:proofErr w:type="spellEnd"/>
        <w:r w:rsidRPr="005D268C">
          <w:rPr>
            <w:rStyle w:val="Hyperlink"/>
          </w:rPr>
          <w:t>.) No.3641/10.25.007/2017-18 dated April 12, 2018</w:t>
        </w:r>
      </w:hyperlink>
      <w:r w:rsidRPr="005D268C">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w:t>
      </w:r>
    </w:p>
    <w:p w14:paraId="7D4388B8" w14:textId="77777777" w:rsidR="00B94F8B" w:rsidRPr="005D268C" w:rsidRDefault="00B94F8B" w:rsidP="00B94F8B">
      <w:r w:rsidRPr="005D268C">
        <w:t>2. In this regard, representations have been received from Indian Banks’ Association on behalf of various banks expressing difficulties in meeting this timeline. Accordingly, it has been decided to extend the timeline for implementation of cassette swap in all ATMs till March 31, 2022.</w:t>
      </w:r>
    </w:p>
    <w:p w14:paraId="22E0F61A" w14:textId="77777777" w:rsidR="00B94F8B" w:rsidRPr="005D268C" w:rsidRDefault="00B94F8B" w:rsidP="00B94F8B">
      <w:r w:rsidRPr="005D268C">
        <w:t>3. Banks shall monitor progress and make the required course correction at the end of every quarter, at the level of Board / ACB and report status within seven days of the end of the quarter, starting from the quarter ended September 2021, to the Chief General Manager-in-Charge, Department of Currency Management, Reserve Bank of India, Central Office, Amar Building, Fourth Floor, Sir P. M. Road, Fort, Mumbai 400 001. The said report should be sent by </w:t>
      </w:r>
      <w:hyperlink r:id="rId28" w:history="1">
        <w:r w:rsidRPr="005D268C">
          <w:rPr>
            <w:rStyle w:val="Hyperlink"/>
          </w:rPr>
          <w:t>e-mail</w:t>
        </w:r>
      </w:hyperlink>
      <w:r w:rsidRPr="005D268C">
        <w:t>. No hard copy need be sent.</w:t>
      </w:r>
    </w:p>
    <w:p w14:paraId="2B4E15A5" w14:textId="77777777" w:rsidR="00B94F8B" w:rsidRPr="005D268C" w:rsidRDefault="00B94F8B" w:rsidP="00B94F8B">
      <w:r w:rsidRPr="005D268C">
        <w:t>Yours faithfully,</w:t>
      </w:r>
    </w:p>
    <w:p w14:paraId="6DA11861" w14:textId="77777777" w:rsidR="00B94F8B" w:rsidRPr="005D268C" w:rsidRDefault="00B94F8B" w:rsidP="00B94F8B">
      <w:r w:rsidRPr="005D268C">
        <w:t>(Subrata Das)</w:t>
      </w:r>
      <w:r w:rsidRPr="005D268C">
        <w:br/>
        <w:t>Chief General Manager-in-Charge</w:t>
      </w:r>
    </w:p>
    <w:p w14:paraId="58313F57" w14:textId="77777777" w:rsidR="00B94F8B" w:rsidRDefault="00B94F8B" w:rsidP="00B94F8B">
      <w:r>
        <w:t xml:space="preserve">Reference link: </w:t>
      </w:r>
      <w:hyperlink r:id="rId29" w:history="1">
        <w:r w:rsidRPr="00D972C1">
          <w:rPr>
            <w:rStyle w:val="Hyperlink"/>
          </w:rPr>
          <w:t>https://www.rbi.org.in/Scripts/NotificationUser.aspx?Id=12130&amp;Mode=0</w:t>
        </w:r>
      </w:hyperlink>
    </w:p>
    <w:p w14:paraId="7457E16A" w14:textId="77777777" w:rsidR="00B94F8B" w:rsidRDefault="00B94F8B" w:rsidP="00B94F8B"/>
    <w:p w14:paraId="2610BEC5" w14:textId="6A6FA687" w:rsidR="00B94F8B" w:rsidRDefault="00B94F8B"/>
    <w:p w14:paraId="58546F2B" w14:textId="3A39B491" w:rsidR="00B94F8B" w:rsidRDefault="00B94F8B"/>
    <w:p w14:paraId="52D0E063" w14:textId="323D1B45" w:rsidR="00B94F8B" w:rsidRDefault="00B94F8B"/>
    <w:p w14:paraId="6D4BEFB8" w14:textId="153854E4" w:rsidR="00B94F8B" w:rsidRDefault="00B94F8B"/>
    <w:p w14:paraId="2D1D69CC" w14:textId="5C708F13" w:rsidR="00B94F8B" w:rsidRDefault="00B94F8B"/>
    <w:p w14:paraId="652DAF2E" w14:textId="24A66B67" w:rsidR="00B94F8B" w:rsidRDefault="00B94F8B"/>
    <w:p w14:paraId="1F731348" w14:textId="1CB761DD" w:rsidR="00B94F8B" w:rsidRDefault="00B94F8B"/>
    <w:p w14:paraId="325F6B72" w14:textId="11A9B66E" w:rsidR="00B94F8B" w:rsidRDefault="00B94F8B"/>
    <w:p w14:paraId="36C84E69" w14:textId="77777777" w:rsidR="00B94F8B" w:rsidRDefault="00B94F8B"/>
    <w:sectPr w:rsidR="00B94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03EC2"/>
    <w:multiLevelType w:val="multilevel"/>
    <w:tmpl w:val="D78477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8B"/>
    <w:rsid w:val="00826243"/>
    <w:rsid w:val="009975ED"/>
    <w:rsid w:val="00B94F8B"/>
    <w:rsid w:val="00C62D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A0A3"/>
  <w15:chartTrackingRefBased/>
  <w15:docId w15:val="{A5EE72D5-A289-4D5F-A5CD-EB96DEA4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F8B"/>
    <w:rPr>
      <w:color w:val="0563C1" w:themeColor="hyperlink"/>
      <w:u w:val="single"/>
    </w:rPr>
  </w:style>
  <w:style w:type="paragraph" w:styleId="NoSpacing">
    <w:name w:val="No Spacing"/>
    <w:uiPriority w:val="1"/>
    <w:qFormat/>
    <w:rsid w:val="00B94F8B"/>
    <w:pPr>
      <w:spacing w:after="0" w:line="240" w:lineRule="auto"/>
    </w:pPr>
  </w:style>
  <w:style w:type="table" w:styleId="TableGrid">
    <w:name w:val="Table Grid"/>
    <w:basedOn w:val="TableNormal"/>
    <w:uiPriority w:val="39"/>
    <w:rsid w:val="0082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docs.rbi.org.in/rdocs/Content/PDFs/BOS2006_2302017.pdf" TargetMode="External"/><Relationship Id="rId13" Type="http://schemas.openxmlformats.org/officeDocument/2006/relationships/hyperlink" Target="https://www.rbi.org.in/Scripts/NotificationUser.aspx?Id=12192&amp;Mode=0" TargetMode="External"/><Relationship Id="rId18" Type="http://schemas.openxmlformats.org/officeDocument/2006/relationships/hyperlink" Target="https://www.rbi.org.in/Scripts/NotificationUser.aspx?Id=12159&amp;Mode=0" TargetMode="External"/><Relationship Id="rId26" Type="http://schemas.openxmlformats.org/officeDocument/2006/relationships/hyperlink" Target="https://www.rbi.org.in/Scripts/NotificationUser.aspx?Id=12136&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2144&amp;Mode=0" TargetMode="External"/><Relationship Id="rId7" Type="http://schemas.openxmlformats.org/officeDocument/2006/relationships/hyperlink" Target="https://rbi.org.in/Scripts/NotificationUser.aspx?Id=11461&amp;Mode=0" TargetMode="External"/><Relationship Id="rId12" Type="http://schemas.openxmlformats.org/officeDocument/2006/relationships/hyperlink" Target="https://rbidocs.rbi.org.in/rdocs/content/pdfs/RBIOS2021_121121.pdf" TargetMode="External"/><Relationship Id="rId17" Type="http://schemas.openxmlformats.org/officeDocument/2006/relationships/hyperlink" Target="https://www.rbi.org.in/Scripts/NotificationUser.aspx?Id=12050&amp;Mode=0" TargetMode="External"/><Relationship Id="rId25" Type="http://schemas.openxmlformats.org/officeDocument/2006/relationships/hyperlink" Target="https://www.rbi.org.in/Scripts/NotificationUser.aspx?Id=12136&amp;Mode=0" TargetMode="External"/><Relationship Id="rId2" Type="http://schemas.openxmlformats.org/officeDocument/2006/relationships/styles" Target="styles.xml"/><Relationship Id="rId16" Type="http://schemas.openxmlformats.org/officeDocument/2006/relationships/hyperlink" Target="https://www.rbi.org.in/Scripts/NotificationUser.aspx?Id=11822&amp;Mode=0" TargetMode="External"/><Relationship Id="rId20" Type="http://schemas.openxmlformats.org/officeDocument/2006/relationships/hyperlink" Target="https://www.rbi.org.in/Scripts/NotificationUser.aspx?Id=12152&amp;Mode=0" TargetMode="External"/><Relationship Id="rId29" Type="http://schemas.openxmlformats.org/officeDocument/2006/relationships/hyperlink" Target="https://www.rbi.org.in/Scripts/NotificationUser.aspx?Id=12130&amp;Mode=0" TargetMode="External"/><Relationship Id="rId1" Type="http://schemas.openxmlformats.org/officeDocument/2006/relationships/numbering" Target="numbering.xml"/><Relationship Id="rId6" Type="http://schemas.openxmlformats.org/officeDocument/2006/relationships/hyperlink" Target="https://rbi.org.in/Scripts/NotificationUser.aspx?Id=11220&amp;Mode=0" TargetMode="External"/><Relationship Id="rId11" Type="http://schemas.openxmlformats.org/officeDocument/2006/relationships/hyperlink" Target="https://rbidocs.rbi.org.in/rdocs/content/pdfs/RBIOS2021_121121_A.pdf" TargetMode="External"/><Relationship Id="rId24" Type="http://schemas.openxmlformats.org/officeDocument/2006/relationships/hyperlink" Target="https://rbi.org.in/Scripts/BS_PressReleaseDisplay.aspx?prid=51077" TargetMode="External"/><Relationship Id="rId5" Type="http://schemas.openxmlformats.org/officeDocument/2006/relationships/hyperlink" Target="https://www.rbi.org.in/Scripts/NotificationUser.aspx?Id=12211&amp;Mode=0" TargetMode="External"/><Relationship Id="rId15" Type="http://schemas.openxmlformats.org/officeDocument/2006/relationships/hyperlink" Target="https://www.rbi.org.in/Scripts/NotificationUser.aspx?Id=12152&amp;Mode=0" TargetMode="External"/><Relationship Id="rId23" Type="http://schemas.openxmlformats.org/officeDocument/2006/relationships/hyperlink" Target="https://rbi.org.in/Scripts/BS_PressReleaseDisplay.aspx?prid=51078" TargetMode="External"/><Relationship Id="rId28" Type="http://schemas.openxmlformats.org/officeDocument/2006/relationships/hyperlink" Target="mailto:dcmtaskforce@rbi.org.in" TargetMode="External"/><Relationship Id="rId10" Type="http://schemas.openxmlformats.org/officeDocument/2006/relationships/hyperlink" Target="https://rbidocs.rbi.org.in/rdocs/Content/PDFs/OSDT31012019.pdf" TargetMode="External"/><Relationship Id="rId19" Type="http://schemas.openxmlformats.org/officeDocument/2006/relationships/hyperlink" Target="https://www.rbi.org.in/Scripts/NotificationUser.aspx?Id=11449&amp;Mode=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bidocs.rbi.org.in/rdocs/Content/PDFs/NBFC23022018.pdf" TargetMode="External"/><Relationship Id="rId14" Type="http://schemas.openxmlformats.org/officeDocument/2006/relationships/hyperlink" Target="https://www.rbi.org.in/Scripts/NotificationUser.aspx?Id=11449&amp;Mode=0" TargetMode="External"/><Relationship Id="rId22" Type="http://schemas.openxmlformats.org/officeDocument/2006/relationships/hyperlink" Target="https://www.rbi.org.in/Scripts/NotificationUser.aspx?Id=12144&amp;Mode=0" TargetMode="External"/><Relationship Id="rId27" Type="http://schemas.openxmlformats.org/officeDocument/2006/relationships/hyperlink" Target="https://rbi.org.in/Scripts/NotificationUser.aspx?Id=11256&amp;Mode=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2022-02-01T14:33:00Z</dcterms:created>
  <dcterms:modified xsi:type="dcterms:W3CDTF">2022-02-08T07:15:00Z</dcterms:modified>
</cp:coreProperties>
</file>