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833BF" w14:textId="22B57671" w:rsidR="002F0B9C" w:rsidRDefault="002F0B9C" w:rsidP="002F0B9C">
      <w:pPr>
        <w:jc w:val="center"/>
        <w:rPr>
          <w:rFonts w:ascii="Arial" w:hAnsi="Arial" w:cs="Arial"/>
          <w:b/>
          <w:bCs/>
          <w:color w:val="000000"/>
          <w:sz w:val="20"/>
          <w:szCs w:val="20"/>
        </w:rPr>
      </w:pPr>
      <w:bookmarkStart w:id="0" w:name="_GoBack"/>
      <w:bookmarkEnd w:id="0"/>
      <w:r>
        <w:rPr>
          <w:rFonts w:ascii="Arial" w:hAnsi="Arial" w:cs="Arial"/>
          <w:b/>
          <w:bCs/>
          <w:color w:val="000000"/>
          <w:sz w:val="20"/>
          <w:szCs w:val="20"/>
        </w:rPr>
        <w:t>Rural Banking</w:t>
      </w:r>
    </w:p>
    <w:p w14:paraId="268D9249" w14:textId="77777777" w:rsidR="002F0B9C" w:rsidRDefault="002F0B9C" w:rsidP="002F0B9C">
      <w:pPr>
        <w:jc w:val="cente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747"/>
        <w:gridCol w:w="8269"/>
      </w:tblGrid>
      <w:tr w:rsidR="002F0B9C" w14:paraId="70BCB858" w14:textId="77777777" w:rsidTr="002F0B9C">
        <w:tc>
          <w:tcPr>
            <w:tcW w:w="704" w:type="dxa"/>
          </w:tcPr>
          <w:p w14:paraId="65A79C1D" w14:textId="103CD7AD" w:rsidR="002F0B9C" w:rsidRPr="002F0B9C" w:rsidRDefault="002F0B9C" w:rsidP="002F0B9C">
            <w:pPr>
              <w:jc w:val="center"/>
              <w:rPr>
                <w:rFonts w:ascii="Arial" w:hAnsi="Arial" w:cs="Arial"/>
                <w:b/>
                <w:bCs/>
                <w:color w:val="000000"/>
                <w:sz w:val="18"/>
                <w:szCs w:val="18"/>
              </w:rPr>
            </w:pPr>
            <w:proofErr w:type="spellStart"/>
            <w:r w:rsidRPr="002F0B9C">
              <w:rPr>
                <w:rFonts w:ascii="Arial" w:hAnsi="Arial" w:cs="Arial"/>
                <w:b/>
                <w:bCs/>
                <w:color w:val="000000"/>
                <w:sz w:val="18"/>
                <w:szCs w:val="18"/>
              </w:rPr>
              <w:t>Sr.No</w:t>
            </w:r>
            <w:proofErr w:type="spellEnd"/>
            <w:r w:rsidRPr="002F0B9C">
              <w:rPr>
                <w:rFonts w:ascii="Arial" w:hAnsi="Arial" w:cs="Arial"/>
                <w:b/>
                <w:bCs/>
                <w:color w:val="000000"/>
                <w:sz w:val="18"/>
                <w:szCs w:val="18"/>
              </w:rPr>
              <w:t>.</w:t>
            </w:r>
          </w:p>
        </w:tc>
        <w:tc>
          <w:tcPr>
            <w:tcW w:w="8312" w:type="dxa"/>
          </w:tcPr>
          <w:p w14:paraId="6A1CDFA5" w14:textId="03B341D6" w:rsidR="002F0B9C" w:rsidRPr="002F0B9C" w:rsidRDefault="002F0B9C" w:rsidP="002F0B9C">
            <w:pPr>
              <w:jc w:val="center"/>
              <w:rPr>
                <w:rFonts w:ascii="Arial" w:hAnsi="Arial" w:cs="Arial"/>
                <w:b/>
                <w:bCs/>
                <w:color w:val="000000"/>
                <w:sz w:val="18"/>
                <w:szCs w:val="18"/>
              </w:rPr>
            </w:pPr>
            <w:r w:rsidRPr="002F0B9C">
              <w:rPr>
                <w:rFonts w:ascii="Arial" w:hAnsi="Arial" w:cs="Arial"/>
                <w:b/>
                <w:bCs/>
                <w:color w:val="000000"/>
                <w:sz w:val="18"/>
                <w:szCs w:val="18"/>
              </w:rPr>
              <w:t>RBI Notifications</w:t>
            </w:r>
          </w:p>
        </w:tc>
      </w:tr>
      <w:tr w:rsidR="001A37E6" w14:paraId="6BBED437" w14:textId="77777777" w:rsidTr="002F0B9C">
        <w:tc>
          <w:tcPr>
            <w:tcW w:w="704" w:type="dxa"/>
          </w:tcPr>
          <w:p w14:paraId="656220B9" w14:textId="18C57383" w:rsidR="001A37E6" w:rsidRPr="002E702F" w:rsidRDefault="001A37E6" w:rsidP="002F0B9C">
            <w:pPr>
              <w:jc w:val="center"/>
              <w:rPr>
                <w:rFonts w:ascii="Arial" w:hAnsi="Arial" w:cs="Arial"/>
                <w:bCs/>
                <w:color w:val="000000"/>
                <w:sz w:val="18"/>
                <w:szCs w:val="18"/>
              </w:rPr>
            </w:pPr>
            <w:r w:rsidRPr="002E702F">
              <w:rPr>
                <w:rFonts w:ascii="Arial" w:hAnsi="Arial" w:cs="Arial"/>
                <w:bCs/>
                <w:color w:val="000000"/>
                <w:sz w:val="18"/>
                <w:szCs w:val="18"/>
              </w:rPr>
              <w:t>1</w:t>
            </w:r>
          </w:p>
        </w:tc>
        <w:tc>
          <w:tcPr>
            <w:tcW w:w="8312" w:type="dxa"/>
          </w:tcPr>
          <w:p w14:paraId="008E3CCA" w14:textId="4F41766C" w:rsidR="001A37E6" w:rsidRPr="002E702F" w:rsidRDefault="001A37E6" w:rsidP="002E702F">
            <w:pPr>
              <w:rPr>
                <w:rFonts w:cstheme="minorHAnsi"/>
                <w:bCs/>
                <w:color w:val="000000"/>
                <w:sz w:val="20"/>
                <w:szCs w:val="20"/>
              </w:rPr>
            </w:pPr>
            <w:r w:rsidRPr="002E702F">
              <w:rPr>
                <w:rFonts w:cstheme="minorHAnsi"/>
                <w:bCs/>
                <w:color w:val="000000"/>
                <w:sz w:val="20"/>
                <w:szCs w:val="20"/>
              </w:rPr>
              <w:t xml:space="preserve">Periodic </w:t>
            </w:r>
            <w:proofErr w:type="spellStart"/>
            <w:r w:rsidRPr="002E702F">
              <w:rPr>
                <w:rFonts w:cstheme="minorHAnsi"/>
                <w:bCs/>
                <w:color w:val="000000"/>
                <w:sz w:val="20"/>
                <w:szCs w:val="20"/>
              </w:rPr>
              <w:t>Updation</w:t>
            </w:r>
            <w:proofErr w:type="spellEnd"/>
            <w:r w:rsidRPr="002E702F">
              <w:rPr>
                <w:rFonts w:cstheme="minorHAnsi"/>
                <w:bCs/>
                <w:color w:val="000000"/>
                <w:sz w:val="20"/>
                <w:szCs w:val="20"/>
              </w:rPr>
              <w:t xml:space="preserve"> of KYC – Restrictions on Account Operations for Non-compliance</w:t>
            </w:r>
          </w:p>
        </w:tc>
      </w:tr>
      <w:tr w:rsidR="002F0B9C" w14:paraId="4C128816" w14:textId="77777777" w:rsidTr="00060A83">
        <w:tc>
          <w:tcPr>
            <w:tcW w:w="704" w:type="dxa"/>
          </w:tcPr>
          <w:p w14:paraId="12F90E65" w14:textId="31E0B96B" w:rsidR="002F0B9C" w:rsidRPr="002F0B9C" w:rsidRDefault="001A37E6" w:rsidP="002F0B9C">
            <w:pPr>
              <w:jc w:val="center"/>
              <w:rPr>
                <w:rFonts w:cstheme="minorHAnsi"/>
                <w:bCs/>
                <w:color w:val="000000"/>
                <w:sz w:val="18"/>
                <w:szCs w:val="18"/>
              </w:rPr>
            </w:pPr>
            <w:r>
              <w:rPr>
                <w:rFonts w:cstheme="minorHAnsi"/>
                <w:bCs/>
                <w:color w:val="000000"/>
                <w:sz w:val="18"/>
                <w:szCs w:val="18"/>
              </w:rPr>
              <w:t>2</w:t>
            </w:r>
          </w:p>
        </w:tc>
        <w:tc>
          <w:tcPr>
            <w:tcW w:w="8312" w:type="dxa"/>
            <w:tcBorders>
              <w:top w:val="nil"/>
              <w:left w:val="single" w:sz="4" w:space="0" w:color="auto"/>
              <w:bottom w:val="single" w:sz="4" w:space="0" w:color="auto"/>
              <w:right w:val="single" w:sz="4" w:space="0" w:color="auto"/>
            </w:tcBorders>
            <w:shd w:val="clear" w:color="auto" w:fill="auto"/>
            <w:vAlign w:val="center"/>
          </w:tcPr>
          <w:p w14:paraId="77A9E712" w14:textId="6A220C52" w:rsidR="002F0B9C" w:rsidRPr="002E702F" w:rsidRDefault="002F0B9C" w:rsidP="002E702F">
            <w:pPr>
              <w:rPr>
                <w:rFonts w:cstheme="minorHAnsi"/>
                <w:bCs/>
                <w:color w:val="000000"/>
                <w:sz w:val="20"/>
                <w:szCs w:val="20"/>
              </w:rPr>
            </w:pPr>
            <w:r w:rsidRPr="002E702F">
              <w:rPr>
                <w:rFonts w:cstheme="minorHAnsi"/>
                <w:sz w:val="20"/>
                <w:szCs w:val="20"/>
              </w:rPr>
              <w:t>Prudential norms on Income Recognition, Asset Classification and Provisioning pertaining to Advances – Clarifications</w:t>
            </w:r>
          </w:p>
        </w:tc>
      </w:tr>
      <w:tr w:rsidR="002F0B9C" w14:paraId="6CC709A4" w14:textId="77777777" w:rsidTr="00060A83">
        <w:tc>
          <w:tcPr>
            <w:tcW w:w="704" w:type="dxa"/>
          </w:tcPr>
          <w:p w14:paraId="7DFB9938" w14:textId="5AB34796" w:rsidR="002F0B9C" w:rsidRPr="002F0B9C" w:rsidRDefault="001A37E6" w:rsidP="002F0B9C">
            <w:pPr>
              <w:jc w:val="center"/>
              <w:rPr>
                <w:rFonts w:cstheme="minorHAnsi"/>
                <w:bCs/>
                <w:color w:val="000000"/>
                <w:sz w:val="18"/>
                <w:szCs w:val="18"/>
              </w:rPr>
            </w:pPr>
            <w:r>
              <w:rPr>
                <w:rFonts w:cstheme="minorHAnsi"/>
                <w:bCs/>
                <w:color w:val="000000"/>
                <w:sz w:val="18"/>
                <w:szCs w:val="18"/>
              </w:rPr>
              <w:t>3</w:t>
            </w:r>
          </w:p>
        </w:tc>
        <w:tc>
          <w:tcPr>
            <w:tcW w:w="8312" w:type="dxa"/>
            <w:tcBorders>
              <w:top w:val="nil"/>
              <w:left w:val="single" w:sz="4" w:space="0" w:color="auto"/>
              <w:bottom w:val="single" w:sz="4" w:space="0" w:color="auto"/>
              <w:right w:val="single" w:sz="4" w:space="0" w:color="auto"/>
            </w:tcBorders>
            <w:shd w:val="clear" w:color="auto" w:fill="auto"/>
            <w:vAlign w:val="center"/>
          </w:tcPr>
          <w:p w14:paraId="3831E265" w14:textId="373FA6D1" w:rsidR="002F0B9C" w:rsidRPr="002E702F" w:rsidRDefault="002F0B9C" w:rsidP="002E702F">
            <w:pPr>
              <w:rPr>
                <w:rFonts w:cstheme="minorHAnsi"/>
                <w:bCs/>
                <w:color w:val="000000"/>
                <w:sz w:val="20"/>
                <w:szCs w:val="20"/>
              </w:rPr>
            </w:pPr>
            <w:r w:rsidRPr="002E702F">
              <w:rPr>
                <w:rFonts w:cstheme="minorHAnsi"/>
                <w:sz w:val="20"/>
                <w:szCs w:val="20"/>
              </w:rPr>
              <w:t>Master Circular- Guarantees, Co-Acceptances &amp; Letters of Credit - UCBs</w:t>
            </w:r>
          </w:p>
        </w:tc>
      </w:tr>
      <w:tr w:rsidR="002F0B9C" w14:paraId="3A82C91F" w14:textId="77777777" w:rsidTr="00060A83">
        <w:tc>
          <w:tcPr>
            <w:tcW w:w="704" w:type="dxa"/>
          </w:tcPr>
          <w:p w14:paraId="2AC9C753" w14:textId="4F1B84A3" w:rsidR="002F0B9C" w:rsidRPr="002F0B9C" w:rsidRDefault="001A37E6" w:rsidP="002F0B9C">
            <w:pPr>
              <w:jc w:val="center"/>
              <w:rPr>
                <w:rFonts w:cstheme="minorHAnsi"/>
                <w:bCs/>
                <w:color w:val="000000"/>
                <w:sz w:val="18"/>
                <w:szCs w:val="18"/>
              </w:rPr>
            </w:pPr>
            <w:r>
              <w:rPr>
                <w:rFonts w:cstheme="minorHAnsi"/>
                <w:bCs/>
                <w:color w:val="000000"/>
                <w:sz w:val="18"/>
                <w:szCs w:val="18"/>
              </w:rPr>
              <w:t>4</w:t>
            </w:r>
          </w:p>
        </w:tc>
        <w:tc>
          <w:tcPr>
            <w:tcW w:w="8312" w:type="dxa"/>
            <w:tcBorders>
              <w:top w:val="nil"/>
              <w:left w:val="single" w:sz="4" w:space="0" w:color="auto"/>
              <w:bottom w:val="single" w:sz="4" w:space="0" w:color="auto"/>
              <w:right w:val="single" w:sz="4" w:space="0" w:color="auto"/>
            </w:tcBorders>
            <w:shd w:val="clear" w:color="auto" w:fill="auto"/>
            <w:vAlign w:val="center"/>
          </w:tcPr>
          <w:p w14:paraId="19F0809D" w14:textId="1FEF7186" w:rsidR="002F0B9C" w:rsidRPr="002E702F" w:rsidRDefault="002F0B9C" w:rsidP="002E702F">
            <w:pPr>
              <w:rPr>
                <w:rFonts w:cstheme="minorHAnsi"/>
                <w:bCs/>
                <w:color w:val="000000"/>
                <w:sz w:val="20"/>
                <w:szCs w:val="20"/>
              </w:rPr>
            </w:pPr>
            <w:r w:rsidRPr="002E702F">
              <w:rPr>
                <w:rFonts w:cstheme="minorHAnsi"/>
                <w:sz w:val="20"/>
                <w:szCs w:val="20"/>
              </w:rPr>
              <w:t>Master Circular - Prudential norms on Income Recognition, Asset Classification and Provisioning pertaining to Advances</w:t>
            </w:r>
          </w:p>
        </w:tc>
      </w:tr>
      <w:tr w:rsidR="002F0B9C" w14:paraId="7D8B4FB2" w14:textId="77777777" w:rsidTr="00060A83">
        <w:tc>
          <w:tcPr>
            <w:tcW w:w="704" w:type="dxa"/>
          </w:tcPr>
          <w:p w14:paraId="466A8C0B" w14:textId="7340DADE" w:rsidR="002F0B9C" w:rsidRPr="002F0B9C" w:rsidRDefault="001A37E6" w:rsidP="002F0B9C">
            <w:pPr>
              <w:jc w:val="center"/>
              <w:rPr>
                <w:rFonts w:cstheme="minorHAnsi"/>
                <w:bCs/>
                <w:color w:val="000000"/>
                <w:sz w:val="18"/>
                <w:szCs w:val="18"/>
              </w:rPr>
            </w:pPr>
            <w:r>
              <w:rPr>
                <w:rFonts w:cstheme="minorHAnsi"/>
                <w:bCs/>
                <w:color w:val="000000"/>
                <w:sz w:val="18"/>
                <w:szCs w:val="18"/>
              </w:rPr>
              <w:t>5</w:t>
            </w:r>
          </w:p>
        </w:tc>
        <w:tc>
          <w:tcPr>
            <w:tcW w:w="8312" w:type="dxa"/>
            <w:tcBorders>
              <w:top w:val="nil"/>
              <w:left w:val="single" w:sz="4" w:space="0" w:color="auto"/>
              <w:bottom w:val="single" w:sz="4" w:space="0" w:color="auto"/>
              <w:right w:val="single" w:sz="4" w:space="0" w:color="auto"/>
            </w:tcBorders>
            <w:shd w:val="clear" w:color="auto" w:fill="auto"/>
            <w:vAlign w:val="center"/>
          </w:tcPr>
          <w:p w14:paraId="008B5D6A" w14:textId="3FE2F41A" w:rsidR="002F0B9C" w:rsidRPr="002E702F" w:rsidRDefault="002F0B9C" w:rsidP="002E702F">
            <w:pPr>
              <w:rPr>
                <w:rFonts w:cstheme="minorHAnsi"/>
                <w:bCs/>
                <w:color w:val="000000"/>
                <w:sz w:val="20"/>
                <w:szCs w:val="20"/>
              </w:rPr>
            </w:pPr>
            <w:r w:rsidRPr="002E702F">
              <w:rPr>
                <w:rFonts w:cstheme="minorHAnsi"/>
                <w:sz w:val="20"/>
                <w:szCs w:val="20"/>
              </w:rPr>
              <w:t>Enhancement of collateral free loans to Self Help Groups (SHGs) under DAY-NRLM from ₹10 lakh to ₹20 Lakh</w:t>
            </w:r>
          </w:p>
        </w:tc>
      </w:tr>
      <w:tr w:rsidR="002F0B9C" w14:paraId="26B9B93E" w14:textId="77777777" w:rsidTr="00060A83">
        <w:tc>
          <w:tcPr>
            <w:tcW w:w="704" w:type="dxa"/>
          </w:tcPr>
          <w:p w14:paraId="647D559A" w14:textId="0B2EAD92" w:rsidR="002F0B9C" w:rsidRPr="002F0B9C" w:rsidRDefault="001A37E6" w:rsidP="002F0B9C">
            <w:pPr>
              <w:jc w:val="center"/>
              <w:rPr>
                <w:rFonts w:cstheme="minorHAnsi"/>
                <w:bCs/>
                <w:color w:val="000000"/>
                <w:sz w:val="18"/>
                <w:szCs w:val="18"/>
              </w:rPr>
            </w:pPr>
            <w:r>
              <w:rPr>
                <w:rFonts w:cstheme="minorHAnsi"/>
                <w:bCs/>
                <w:color w:val="000000"/>
                <w:sz w:val="18"/>
                <w:szCs w:val="18"/>
              </w:rPr>
              <w:t>6</w:t>
            </w:r>
          </w:p>
        </w:tc>
        <w:tc>
          <w:tcPr>
            <w:tcW w:w="8312" w:type="dxa"/>
            <w:tcBorders>
              <w:top w:val="nil"/>
              <w:left w:val="single" w:sz="4" w:space="0" w:color="auto"/>
              <w:bottom w:val="single" w:sz="4" w:space="0" w:color="auto"/>
              <w:right w:val="single" w:sz="4" w:space="0" w:color="auto"/>
            </w:tcBorders>
            <w:shd w:val="clear" w:color="auto" w:fill="auto"/>
            <w:vAlign w:val="center"/>
          </w:tcPr>
          <w:p w14:paraId="3749D694" w14:textId="00BB5BCC" w:rsidR="002F0B9C" w:rsidRPr="002E702F" w:rsidRDefault="002F0B9C" w:rsidP="002E702F">
            <w:pPr>
              <w:rPr>
                <w:rFonts w:cstheme="minorHAnsi"/>
                <w:bCs/>
                <w:color w:val="000000"/>
                <w:sz w:val="20"/>
                <w:szCs w:val="20"/>
              </w:rPr>
            </w:pPr>
            <w:r w:rsidRPr="002E702F">
              <w:rPr>
                <w:rFonts w:cstheme="minorHAnsi"/>
                <w:sz w:val="20"/>
                <w:szCs w:val="20"/>
              </w:rPr>
              <w:t>Section 24 of the Banking Regulation Act, 1949 – Maintenance of Statutory Liquidity Ratio (SLR) – Marginal Standing Facility (MSF) - Extension of Relaxation</w:t>
            </w:r>
          </w:p>
        </w:tc>
      </w:tr>
    </w:tbl>
    <w:p w14:paraId="50896541" w14:textId="77777777" w:rsidR="002F0B9C" w:rsidRDefault="002F0B9C" w:rsidP="002F0B9C">
      <w:pPr>
        <w:rPr>
          <w:rFonts w:ascii="Arial" w:hAnsi="Arial" w:cs="Arial"/>
          <w:b/>
          <w:bCs/>
          <w:color w:val="000000"/>
          <w:sz w:val="20"/>
          <w:szCs w:val="20"/>
        </w:rPr>
      </w:pPr>
    </w:p>
    <w:p w14:paraId="532BA5F9" w14:textId="77777777" w:rsidR="002F0B9C" w:rsidRDefault="002F0B9C" w:rsidP="004D2167">
      <w:pPr>
        <w:rPr>
          <w:rFonts w:ascii="Arial" w:hAnsi="Arial" w:cs="Arial"/>
          <w:b/>
          <w:bCs/>
          <w:color w:val="000000"/>
          <w:sz w:val="20"/>
          <w:szCs w:val="20"/>
        </w:rPr>
      </w:pPr>
    </w:p>
    <w:p w14:paraId="76522BCB" w14:textId="17F5FE5B" w:rsidR="004D2167" w:rsidRDefault="004D2167" w:rsidP="004D2167">
      <w:pPr>
        <w:rPr>
          <w:rFonts w:ascii="Arial" w:hAnsi="Arial" w:cs="Arial"/>
          <w:b/>
          <w:bCs/>
          <w:color w:val="000000"/>
          <w:sz w:val="20"/>
          <w:szCs w:val="20"/>
        </w:rPr>
      </w:pPr>
      <w:r>
        <w:rPr>
          <w:rFonts w:ascii="Arial" w:hAnsi="Arial" w:cs="Arial"/>
          <w:b/>
          <w:bCs/>
          <w:color w:val="000000"/>
          <w:sz w:val="20"/>
          <w:szCs w:val="20"/>
        </w:rPr>
        <w:t xml:space="preserve">Periodic </w:t>
      </w:r>
      <w:proofErr w:type="spellStart"/>
      <w:r>
        <w:rPr>
          <w:rFonts w:ascii="Arial" w:hAnsi="Arial" w:cs="Arial"/>
          <w:b/>
          <w:bCs/>
          <w:color w:val="000000"/>
          <w:sz w:val="20"/>
          <w:szCs w:val="20"/>
        </w:rPr>
        <w:t>Updation</w:t>
      </w:r>
      <w:proofErr w:type="spellEnd"/>
      <w:r>
        <w:rPr>
          <w:rFonts w:ascii="Arial" w:hAnsi="Arial" w:cs="Arial"/>
          <w:b/>
          <w:bCs/>
          <w:color w:val="000000"/>
          <w:sz w:val="20"/>
          <w:szCs w:val="20"/>
        </w:rPr>
        <w:t xml:space="preserve"> of KYC – Restrictions on Account Operations for Non-compliance</w:t>
      </w:r>
    </w:p>
    <w:p w14:paraId="4966F8E4" w14:textId="77777777" w:rsidR="004D2167" w:rsidRPr="00131E28" w:rsidRDefault="004D2167" w:rsidP="004D2167">
      <w:r w:rsidRPr="00131E28">
        <w:t>RBI/2021-22/144</w:t>
      </w:r>
      <w:r w:rsidRPr="00131E28">
        <w:br/>
        <w:t>DOR.AML.REC.74/14.01.001/2021-22</w:t>
      </w:r>
    </w:p>
    <w:p w14:paraId="0E671D45" w14:textId="77777777" w:rsidR="004D2167" w:rsidRPr="00131E28" w:rsidRDefault="004D2167" w:rsidP="004D2167">
      <w:r w:rsidRPr="00131E28">
        <w:t>December 30, 2021</w:t>
      </w:r>
    </w:p>
    <w:p w14:paraId="24DA9CC3" w14:textId="77777777" w:rsidR="004D2167" w:rsidRPr="00131E28" w:rsidRDefault="004D2167" w:rsidP="004D2167">
      <w:r w:rsidRPr="00131E28">
        <w:t>The Chairpersons/ CEOs of all the Regulated Entities</w:t>
      </w:r>
    </w:p>
    <w:p w14:paraId="71BC9D42" w14:textId="77777777" w:rsidR="004D2167" w:rsidRPr="00131E28" w:rsidRDefault="004D2167" w:rsidP="004D2167">
      <w:r w:rsidRPr="00131E28">
        <w:t>Madam/Dear Sir,</w:t>
      </w:r>
    </w:p>
    <w:p w14:paraId="6BE9E48F" w14:textId="77777777" w:rsidR="004D2167" w:rsidRPr="00131E28" w:rsidRDefault="004D2167" w:rsidP="004D2167">
      <w:pPr>
        <w:rPr>
          <w:b/>
          <w:bCs/>
        </w:rPr>
      </w:pPr>
      <w:r w:rsidRPr="00131E28">
        <w:rPr>
          <w:b/>
          <w:bCs/>
        </w:rPr>
        <w:t xml:space="preserve">Periodic </w:t>
      </w:r>
      <w:proofErr w:type="spellStart"/>
      <w:r w:rsidRPr="00131E28">
        <w:rPr>
          <w:b/>
          <w:bCs/>
        </w:rPr>
        <w:t>Updation</w:t>
      </w:r>
      <w:proofErr w:type="spellEnd"/>
      <w:r w:rsidRPr="00131E28">
        <w:rPr>
          <w:b/>
          <w:bCs/>
        </w:rPr>
        <w:t xml:space="preserve"> of KYC – Restrictions on Account Operations for Non-compliance</w:t>
      </w:r>
    </w:p>
    <w:p w14:paraId="06F23E42" w14:textId="77777777" w:rsidR="004D2167" w:rsidRPr="00131E28" w:rsidRDefault="004D2167" w:rsidP="004D2167">
      <w:r w:rsidRPr="00131E28">
        <w:t>Please refer to our </w:t>
      </w:r>
      <w:hyperlink r:id="rId4" w:tgtFrame="_blank" w:history="1">
        <w:r w:rsidRPr="00131E28">
          <w:rPr>
            <w:rStyle w:val="Hyperlink"/>
          </w:rPr>
          <w:t>circular DOR.AML.REC 13/14.01.001/2021-22 dated May 5, 2021</w:t>
        </w:r>
      </w:hyperlink>
      <w:r w:rsidRPr="00131E28">
        <w:t>, on the captioned subject.</w:t>
      </w:r>
    </w:p>
    <w:p w14:paraId="164B2AA4" w14:textId="77777777" w:rsidR="004D2167" w:rsidRPr="00131E28" w:rsidRDefault="004D2167" w:rsidP="004D2167">
      <w:r w:rsidRPr="00131E28">
        <w:t>2. In view of the prevalent uncertainty due to new variant of Covid-19, the relaxation provided in the aforementioned circular is hereby extended till March 31, 2022.</w:t>
      </w:r>
    </w:p>
    <w:p w14:paraId="5CAFA60D" w14:textId="77777777" w:rsidR="004D2167" w:rsidRPr="00131E28" w:rsidRDefault="004D2167" w:rsidP="004D2167">
      <w:r w:rsidRPr="00131E28">
        <w:t>Yours faithfully,</w:t>
      </w:r>
    </w:p>
    <w:p w14:paraId="59821DB5" w14:textId="77777777" w:rsidR="004D2167" w:rsidRPr="00131E28" w:rsidRDefault="004D2167" w:rsidP="004D2167">
      <w:r w:rsidRPr="00131E28">
        <w:t xml:space="preserve">(Prakash </w:t>
      </w:r>
      <w:proofErr w:type="spellStart"/>
      <w:r w:rsidRPr="00131E28">
        <w:t>Baliarsingh</w:t>
      </w:r>
      <w:proofErr w:type="spellEnd"/>
      <w:r w:rsidRPr="00131E28">
        <w:t>)</w:t>
      </w:r>
      <w:r w:rsidRPr="00131E28">
        <w:br/>
        <w:t>Chief General Manager</w:t>
      </w:r>
    </w:p>
    <w:p w14:paraId="6FBA928D" w14:textId="77777777" w:rsidR="004D2167" w:rsidRDefault="004D2167" w:rsidP="004D2167">
      <w:r>
        <w:t xml:space="preserve">Reference Link: </w:t>
      </w:r>
      <w:hyperlink r:id="rId5" w:history="1">
        <w:r w:rsidRPr="00D972C1">
          <w:rPr>
            <w:rStyle w:val="Hyperlink"/>
          </w:rPr>
          <w:t>https://www.rbi.org.in/Scripts/NotificationUser.aspx?Id=12213&amp;Mode=0</w:t>
        </w:r>
      </w:hyperlink>
    </w:p>
    <w:p w14:paraId="2E9FFC8B" w14:textId="1A734340" w:rsidR="009975ED" w:rsidRDefault="009975ED"/>
    <w:p w14:paraId="52E7C11F" w14:textId="1FE8980F" w:rsidR="004D2167" w:rsidRDefault="004D2167"/>
    <w:p w14:paraId="391E2A1A" w14:textId="5541F931" w:rsidR="004D2167" w:rsidRDefault="004D2167"/>
    <w:p w14:paraId="5F01AD28" w14:textId="5E5CC7FF" w:rsidR="004D2167" w:rsidRDefault="004D2167"/>
    <w:p w14:paraId="28717421" w14:textId="2380DE72" w:rsidR="004D2167" w:rsidRDefault="004D2167"/>
    <w:p w14:paraId="21E287B1" w14:textId="0A7C67B2" w:rsidR="004D2167" w:rsidRDefault="004D2167"/>
    <w:p w14:paraId="61A2DBB2" w14:textId="3FD3392B" w:rsidR="004D2167" w:rsidRDefault="004D2167"/>
    <w:p w14:paraId="254509FA" w14:textId="649C901D" w:rsidR="004D2167" w:rsidRDefault="004D2167"/>
    <w:p w14:paraId="65518FA2" w14:textId="050037A9" w:rsidR="004D2167" w:rsidRDefault="004D2167"/>
    <w:p w14:paraId="746400E5" w14:textId="3B833B5E" w:rsidR="004D2167" w:rsidRDefault="004D2167"/>
    <w:p w14:paraId="34894776" w14:textId="11874A32" w:rsidR="004D2167" w:rsidRDefault="004D2167"/>
    <w:p w14:paraId="0E3608DA" w14:textId="49FE5EDF" w:rsidR="004D2167" w:rsidRDefault="004D2167"/>
    <w:p w14:paraId="3E8A7C62" w14:textId="61D2A09A" w:rsidR="004D2167" w:rsidRDefault="004D2167"/>
    <w:p w14:paraId="68682E73" w14:textId="7FCAF14D" w:rsidR="004D2167" w:rsidRDefault="004D2167"/>
    <w:p w14:paraId="27981D05" w14:textId="119E2103" w:rsidR="004D2167" w:rsidRDefault="004D2167"/>
    <w:p w14:paraId="7A651B8C" w14:textId="13DEB130" w:rsidR="004D2167" w:rsidRDefault="004D2167"/>
    <w:p w14:paraId="6140447E" w14:textId="79908F9B" w:rsidR="004D2167" w:rsidRDefault="004D2167"/>
    <w:p w14:paraId="3138B788" w14:textId="77777777" w:rsidR="004D2167" w:rsidRDefault="004D2167" w:rsidP="004D2167">
      <w:pPr>
        <w:rPr>
          <w:rFonts w:ascii="Arial" w:hAnsi="Arial" w:cs="Arial"/>
          <w:b/>
          <w:bCs/>
          <w:color w:val="000000"/>
          <w:sz w:val="20"/>
          <w:szCs w:val="20"/>
        </w:rPr>
      </w:pPr>
      <w:bookmarkStart w:id="1" w:name="_Hlk94635152"/>
      <w:r>
        <w:rPr>
          <w:rFonts w:ascii="Arial" w:hAnsi="Arial" w:cs="Arial"/>
          <w:b/>
          <w:bCs/>
          <w:color w:val="000000"/>
          <w:sz w:val="20"/>
          <w:szCs w:val="20"/>
        </w:rPr>
        <w:t>Prudential norms on Income Recognition, Asset Classification and Provisioning pertaining to Advances – Clarifications</w:t>
      </w:r>
    </w:p>
    <w:p w14:paraId="67E5B81E" w14:textId="77777777" w:rsidR="004D2167" w:rsidRPr="00D52242" w:rsidRDefault="004D2167" w:rsidP="004D2167">
      <w:r w:rsidRPr="00D52242">
        <w:t>RBI/2021-2022/125</w:t>
      </w:r>
      <w:r w:rsidRPr="00D52242">
        <w:br/>
        <w:t>DOR.STR.REC.68/21.04.048/2021-22</w:t>
      </w:r>
    </w:p>
    <w:p w14:paraId="72D53D53" w14:textId="77777777" w:rsidR="004D2167" w:rsidRPr="00D52242" w:rsidRDefault="004D2167" w:rsidP="004D2167">
      <w:r w:rsidRPr="00D52242">
        <w:t>November 12, 2021</w:t>
      </w:r>
    </w:p>
    <w:p w14:paraId="799E7E9A" w14:textId="77777777" w:rsidR="004D2167" w:rsidRPr="00D52242" w:rsidRDefault="004D2167" w:rsidP="004D2167">
      <w:r w:rsidRPr="00D52242">
        <w:t>All Commercial Banks (including Small Finance Banks, Local Area Banks and Regional Rural Banks) excluding Payments Banks</w:t>
      </w:r>
      <w:r w:rsidRPr="00D52242">
        <w:br/>
        <w:t>All Primary (Urban) Co-operative Banks/State Co-operative Banks/District Central Co-operative Banks</w:t>
      </w:r>
      <w:r w:rsidRPr="00D52242">
        <w:br/>
        <w:t>All-India Financial Institutions (Exim Bank, NABARD, NHB and SIDBI)</w:t>
      </w:r>
      <w:r w:rsidRPr="00D52242">
        <w:br/>
        <w:t>All Non-Banking Financial Companies (including Housing Finance Companies)</w:t>
      </w:r>
    </w:p>
    <w:p w14:paraId="506BD80D" w14:textId="77777777" w:rsidR="004D2167" w:rsidRPr="00D52242" w:rsidRDefault="004D2167" w:rsidP="004D2167">
      <w:r w:rsidRPr="00D52242">
        <w:t>Madam/Dear Sir,</w:t>
      </w:r>
    </w:p>
    <w:p w14:paraId="544C392C" w14:textId="77777777" w:rsidR="004D2167" w:rsidRPr="00D52242" w:rsidRDefault="004D2167" w:rsidP="004D2167">
      <w:pPr>
        <w:rPr>
          <w:b/>
          <w:bCs/>
        </w:rPr>
      </w:pPr>
      <w:r w:rsidRPr="00D52242">
        <w:rPr>
          <w:b/>
          <w:bCs/>
        </w:rPr>
        <w:t>Prudential norms on Income Recognition, Asset Classification and Provisioning pertaining to Advances - Clarifications</w:t>
      </w:r>
    </w:p>
    <w:p w14:paraId="0B3A2DA5" w14:textId="77777777" w:rsidR="004D2167" w:rsidRDefault="004D2167" w:rsidP="004D2167">
      <w:r w:rsidRPr="00D52242">
        <w:t>Please refer to the </w:t>
      </w:r>
      <w:hyperlink r:id="rId6" w:tgtFrame="_blank" w:history="1">
        <w:r w:rsidRPr="00D52242">
          <w:rPr>
            <w:rStyle w:val="Hyperlink"/>
          </w:rPr>
          <w:t>Master Circular on Prudential norms on Income Recognition, Asset Classification and Provisioning pertaining to Advances (IRACP norms) dated October 1, 2021</w:t>
        </w:r>
      </w:hyperlink>
      <w:r w:rsidRPr="00D52242">
        <w:t>. With a view to ensuring uniformity in the implementation of IRACP norms across all lending institutions, certain aspects of the extant regulatory guidelines are being clarified and/or harmonized, which will be applicable </w:t>
      </w:r>
      <w:r w:rsidRPr="00D52242">
        <w:rPr>
          <w:i/>
          <w:iCs/>
        </w:rPr>
        <w:t>mutatis mutandis</w:t>
      </w:r>
      <w:r w:rsidRPr="00D52242">
        <w:t> to all lending institutions. Wherever references to circulars/instructions applicable to banks have been made, other lending institutions may refer to instructions as applicable to them. All the instructions in this circular</w:t>
      </w:r>
      <w:r>
        <w:t xml:space="preserve"> cover aspects on:</w:t>
      </w:r>
    </w:p>
    <w:p w14:paraId="51F5D28E" w14:textId="77777777" w:rsidR="004D2167" w:rsidRPr="00D52242" w:rsidRDefault="004D2167" w:rsidP="004D2167">
      <w:pPr>
        <w:rPr>
          <w:b/>
          <w:bCs/>
        </w:rPr>
      </w:pPr>
      <w:r w:rsidRPr="00D52242">
        <w:rPr>
          <w:b/>
          <w:bCs/>
        </w:rPr>
        <w:t>A. Specification of due date/repayment date</w:t>
      </w:r>
    </w:p>
    <w:p w14:paraId="5E9B7397" w14:textId="77777777" w:rsidR="004D2167" w:rsidRDefault="004D2167" w:rsidP="004D2167">
      <w:pPr>
        <w:rPr>
          <w:b/>
          <w:bCs/>
        </w:rPr>
      </w:pPr>
      <w:r w:rsidRPr="00D52242">
        <w:rPr>
          <w:b/>
          <w:bCs/>
        </w:rPr>
        <w:t>B. Classification as Special Mention Account (SMA) and Non-Performing Asset (NPA)</w:t>
      </w:r>
    </w:p>
    <w:p w14:paraId="0CAE582D" w14:textId="77777777" w:rsidR="004D2167" w:rsidRDefault="004D2167" w:rsidP="004D2167">
      <w:pPr>
        <w:rPr>
          <w:b/>
          <w:bCs/>
        </w:rPr>
      </w:pPr>
      <w:r w:rsidRPr="00D52242">
        <w:rPr>
          <w:b/>
          <w:bCs/>
        </w:rPr>
        <w:t>C. Clarification regarding definition of ‘out of order’</w:t>
      </w:r>
    </w:p>
    <w:p w14:paraId="1779748A" w14:textId="77777777" w:rsidR="004D2167" w:rsidRDefault="004D2167" w:rsidP="004D2167">
      <w:r w:rsidRPr="00D52242">
        <w:rPr>
          <w:b/>
          <w:bCs/>
        </w:rPr>
        <w:t>D. NPA classification in case of interest payments</w:t>
      </w:r>
    </w:p>
    <w:p w14:paraId="2978A2D5" w14:textId="77777777" w:rsidR="004D2167" w:rsidRDefault="004D2167" w:rsidP="004D2167">
      <w:r w:rsidRPr="00D52242">
        <w:rPr>
          <w:b/>
          <w:bCs/>
        </w:rPr>
        <w:t>E. Upgradation of accounts classified as NPAs</w:t>
      </w:r>
    </w:p>
    <w:p w14:paraId="140B90E9" w14:textId="77777777" w:rsidR="004D2167" w:rsidRDefault="004D2167" w:rsidP="004D2167">
      <w:pPr>
        <w:rPr>
          <w:b/>
          <w:bCs/>
        </w:rPr>
      </w:pPr>
      <w:r w:rsidRPr="00D52242">
        <w:rPr>
          <w:b/>
          <w:bCs/>
        </w:rPr>
        <w:t>F. Income recognition policy for loans with moratorium on payment of interest</w:t>
      </w:r>
    </w:p>
    <w:p w14:paraId="1AC2F1B8" w14:textId="77777777" w:rsidR="004D2167" w:rsidRDefault="004D2167" w:rsidP="004D2167">
      <w:r w:rsidRPr="00D52242">
        <w:rPr>
          <w:b/>
          <w:bCs/>
        </w:rPr>
        <w:lastRenderedPageBreak/>
        <w:t>G. Consumer Education</w:t>
      </w:r>
    </w:p>
    <w:p w14:paraId="43BFE6BA" w14:textId="77777777" w:rsidR="004D2167" w:rsidRDefault="004D2167" w:rsidP="004D2167"/>
    <w:p w14:paraId="340340F7" w14:textId="77777777" w:rsidR="004D2167" w:rsidRDefault="004D2167" w:rsidP="004D2167">
      <w:r>
        <w:t>Details under each aspect may be referred from the below link</w:t>
      </w:r>
    </w:p>
    <w:p w14:paraId="7BE023EF" w14:textId="77777777" w:rsidR="004D2167" w:rsidRDefault="004D2167" w:rsidP="004D2167">
      <w:r>
        <w:t xml:space="preserve">Reference link: </w:t>
      </w:r>
      <w:hyperlink r:id="rId7" w:history="1">
        <w:r w:rsidRPr="00D972C1">
          <w:rPr>
            <w:rStyle w:val="Hyperlink"/>
          </w:rPr>
          <w:t>https://www.rbi.org.in/Scripts/NotificationUser.aspx?Id=12194&amp;Mode=0</w:t>
        </w:r>
      </w:hyperlink>
    </w:p>
    <w:p w14:paraId="60CF90B7" w14:textId="77777777" w:rsidR="004D2167" w:rsidRDefault="004D2167" w:rsidP="004D2167">
      <w:r>
        <w:br w:type="page"/>
      </w:r>
    </w:p>
    <w:p w14:paraId="36113627" w14:textId="77777777" w:rsidR="004D2167" w:rsidRDefault="004D2167" w:rsidP="004D2167">
      <w:pPr>
        <w:rPr>
          <w:rFonts w:ascii="Arial" w:hAnsi="Arial" w:cs="Arial"/>
          <w:b/>
          <w:bCs/>
          <w:color w:val="000000"/>
          <w:sz w:val="20"/>
          <w:szCs w:val="20"/>
        </w:rPr>
      </w:pPr>
      <w:bookmarkStart w:id="2" w:name="_Hlk94637079"/>
      <w:bookmarkEnd w:id="1"/>
      <w:r>
        <w:rPr>
          <w:rFonts w:ascii="Arial" w:hAnsi="Arial" w:cs="Arial"/>
          <w:b/>
          <w:bCs/>
          <w:color w:val="000000"/>
          <w:sz w:val="20"/>
          <w:szCs w:val="20"/>
        </w:rPr>
        <w:lastRenderedPageBreak/>
        <w:t>Master Circular- Guarantees, Co-Acceptances &amp; Letters of Credit – UCBs</w:t>
      </w:r>
    </w:p>
    <w:p w14:paraId="4D57564D" w14:textId="77777777" w:rsidR="004D2167" w:rsidRPr="003272CD" w:rsidRDefault="004D2167" w:rsidP="004D2167">
      <w:r w:rsidRPr="003272CD">
        <w:t>RBI/2021-22/119</w:t>
      </w:r>
      <w:r w:rsidRPr="003272CD">
        <w:br/>
        <w:t>DoR.STR.REC.65/09.27.000/2021-22</w:t>
      </w:r>
    </w:p>
    <w:p w14:paraId="2A96A389" w14:textId="77777777" w:rsidR="004D2167" w:rsidRPr="003272CD" w:rsidRDefault="004D2167" w:rsidP="004D2167">
      <w:r w:rsidRPr="003272CD">
        <w:t>November 02, 2021</w:t>
      </w:r>
    </w:p>
    <w:p w14:paraId="700C9742" w14:textId="77777777" w:rsidR="004D2167" w:rsidRPr="003272CD" w:rsidRDefault="004D2167" w:rsidP="004D2167">
      <w:r w:rsidRPr="003272CD">
        <w:t>The Managing Director/ Chief Executive Officers</w:t>
      </w:r>
      <w:r w:rsidRPr="003272CD">
        <w:br/>
        <w:t>All Primary (Urban) Co-operative Banks</w:t>
      </w:r>
    </w:p>
    <w:p w14:paraId="2E13ACAC" w14:textId="77777777" w:rsidR="004D2167" w:rsidRPr="003272CD" w:rsidRDefault="004D2167" w:rsidP="004D2167">
      <w:r w:rsidRPr="003272CD">
        <w:t>Dear Sir/ Madam,</w:t>
      </w:r>
    </w:p>
    <w:p w14:paraId="43D41954" w14:textId="77777777" w:rsidR="004D2167" w:rsidRPr="003272CD" w:rsidRDefault="004D2167" w:rsidP="004D2167">
      <w:pPr>
        <w:rPr>
          <w:b/>
          <w:bCs/>
        </w:rPr>
      </w:pPr>
      <w:r w:rsidRPr="003272CD">
        <w:rPr>
          <w:b/>
          <w:bCs/>
        </w:rPr>
        <w:t>Master Circular- Guarantees, Co-Acceptances &amp; Letters of Credit - UCBs</w:t>
      </w:r>
    </w:p>
    <w:p w14:paraId="3ADC72FF" w14:textId="77777777" w:rsidR="004D2167" w:rsidRPr="003272CD" w:rsidRDefault="004D2167" w:rsidP="004D2167">
      <w:r w:rsidRPr="003272CD">
        <w:t>Please refer to our </w:t>
      </w:r>
      <w:hyperlink r:id="rId8" w:tgtFrame="_blank" w:history="1">
        <w:r w:rsidRPr="003272CD">
          <w:rPr>
            <w:rStyle w:val="Hyperlink"/>
          </w:rPr>
          <w:t>Master Circular DCBR. BPD (PCB) MC. No.8/09.27.000/2015-16 dated July 1, 2015</w:t>
        </w:r>
      </w:hyperlink>
      <w:r w:rsidRPr="003272CD">
        <w:t> on the captioned subject (available at RBI website </w:t>
      </w:r>
      <w:hyperlink r:id="rId9" w:tgtFrame="_blank" w:history="1">
        <w:r w:rsidRPr="003272CD">
          <w:rPr>
            <w:rStyle w:val="Hyperlink"/>
          </w:rPr>
          <w:t>https://rbi.org.in/</w:t>
        </w:r>
      </w:hyperlink>
      <w:r w:rsidRPr="003272CD">
        <w:t>). The enclosed </w:t>
      </w:r>
      <w:hyperlink r:id="rId10" w:anchor="MC1" w:history="1">
        <w:r w:rsidRPr="003272CD">
          <w:rPr>
            <w:rStyle w:val="Hyperlink"/>
          </w:rPr>
          <w:t>Master Circular</w:t>
        </w:r>
      </w:hyperlink>
      <w:r w:rsidRPr="003272CD">
        <w:t> consolidates and updates all the instructions / guidelines on the subject issued up to November 1, 2021 as listed in the </w:t>
      </w:r>
      <w:hyperlink r:id="rId11" w:anchor="ANNEX" w:history="1">
        <w:r w:rsidRPr="003272CD">
          <w:rPr>
            <w:rStyle w:val="Hyperlink"/>
          </w:rPr>
          <w:t>Annex</w:t>
        </w:r>
      </w:hyperlink>
      <w:r w:rsidRPr="003272CD">
        <w:t>.</w:t>
      </w:r>
    </w:p>
    <w:p w14:paraId="3634856B" w14:textId="77777777" w:rsidR="004D2167" w:rsidRPr="003272CD" w:rsidRDefault="004D2167" w:rsidP="004D2167">
      <w:r w:rsidRPr="003272CD">
        <w:t>Yours faithfully</w:t>
      </w:r>
    </w:p>
    <w:p w14:paraId="17EF191D" w14:textId="77777777" w:rsidR="004D2167" w:rsidRPr="003272CD" w:rsidRDefault="004D2167" w:rsidP="004D2167">
      <w:r w:rsidRPr="003272CD">
        <w:t>(</w:t>
      </w:r>
      <w:proofErr w:type="spellStart"/>
      <w:r w:rsidRPr="003272CD">
        <w:t>Manoranjan</w:t>
      </w:r>
      <w:proofErr w:type="spellEnd"/>
      <w:r w:rsidRPr="003272CD">
        <w:t xml:space="preserve"> Mishra)</w:t>
      </w:r>
      <w:r w:rsidRPr="003272CD">
        <w:br/>
        <w:t>Chief General Manager</w:t>
      </w:r>
    </w:p>
    <w:p w14:paraId="4AA32CB3" w14:textId="77777777" w:rsidR="004D2167" w:rsidRDefault="004D2167" w:rsidP="004D2167">
      <w:r>
        <w:t xml:space="preserve">Reference link: </w:t>
      </w:r>
      <w:hyperlink r:id="rId12" w:history="1">
        <w:r w:rsidRPr="00D972C1">
          <w:rPr>
            <w:rStyle w:val="Hyperlink"/>
          </w:rPr>
          <w:t>https://www.rbi.org.in/Scripts/NotificationUser.aspx?Id=12187&amp;Mode=0</w:t>
        </w:r>
      </w:hyperlink>
    </w:p>
    <w:bookmarkEnd w:id="2"/>
    <w:p w14:paraId="70F6AD96" w14:textId="77777777" w:rsidR="004D2167" w:rsidRDefault="004D2167" w:rsidP="004D2167">
      <w:r>
        <w:br w:type="page"/>
      </w:r>
    </w:p>
    <w:p w14:paraId="0003D994" w14:textId="77777777" w:rsidR="004D2167" w:rsidRDefault="004D2167" w:rsidP="004D2167">
      <w:pPr>
        <w:rPr>
          <w:rFonts w:ascii="Arial" w:hAnsi="Arial" w:cs="Arial"/>
          <w:b/>
          <w:bCs/>
          <w:color w:val="000000"/>
          <w:sz w:val="20"/>
          <w:szCs w:val="20"/>
        </w:rPr>
      </w:pPr>
      <w:bookmarkStart w:id="3" w:name="_Hlk94633623"/>
      <w:bookmarkStart w:id="4" w:name="_Hlk94635242"/>
      <w:r>
        <w:rPr>
          <w:rFonts w:ascii="Arial" w:hAnsi="Arial" w:cs="Arial"/>
          <w:b/>
          <w:bCs/>
          <w:color w:val="000000"/>
          <w:sz w:val="20"/>
          <w:szCs w:val="20"/>
        </w:rPr>
        <w:lastRenderedPageBreak/>
        <w:t>Master Circular - Prudential norms on Income Recognition, Asset Classification and Provisioning pertaining to Advances</w:t>
      </w:r>
    </w:p>
    <w:p w14:paraId="2EBEAA54" w14:textId="77777777" w:rsidR="004D2167" w:rsidRPr="0022629C" w:rsidRDefault="004D2167" w:rsidP="004D2167">
      <w:r w:rsidRPr="0022629C">
        <w:t>RBI/2021-2022/104</w:t>
      </w:r>
      <w:r w:rsidRPr="0022629C">
        <w:br/>
        <w:t>DOR.No.STR.REC.55/21.04.048/2021-22</w:t>
      </w:r>
    </w:p>
    <w:p w14:paraId="63992EC2" w14:textId="77777777" w:rsidR="004D2167" w:rsidRPr="0022629C" w:rsidRDefault="004D2167" w:rsidP="004D2167">
      <w:r w:rsidRPr="0022629C">
        <w:t>October 1, 2021</w:t>
      </w:r>
    </w:p>
    <w:p w14:paraId="06A3B2C4" w14:textId="77777777" w:rsidR="004D2167" w:rsidRPr="0022629C" w:rsidRDefault="004D2167" w:rsidP="004D2167">
      <w:r w:rsidRPr="0022629C">
        <w:t>All Commercial Banks (excluding RRBs)</w:t>
      </w:r>
    </w:p>
    <w:p w14:paraId="510DC2BF" w14:textId="77777777" w:rsidR="004D2167" w:rsidRPr="0022629C" w:rsidRDefault="004D2167" w:rsidP="004D2167">
      <w:r w:rsidRPr="0022629C">
        <w:t>Madam/Dear Sir</w:t>
      </w:r>
    </w:p>
    <w:p w14:paraId="17F50669" w14:textId="77777777" w:rsidR="004D2167" w:rsidRPr="0022629C" w:rsidRDefault="004D2167" w:rsidP="004D2167">
      <w:pPr>
        <w:rPr>
          <w:b/>
          <w:bCs/>
        </w:rPr>
      </w:pPr>
      <w:r w:rsidRPr="0022629C">
        <w:rPr>
          <w:b/>
          <w:bCs/>
        </w:rPr>
        <w:t>Master Circular - Prudential norms on Income Recognition, Asset Classification and Provisioning pertaining to Advances</w:t>
      </w:r>
    </w:p>
    <w:p w14:paraId="2E03A8A3" w14:textId="77777777" w:rsidR="004D2167" w:rsidRPr="0022629C" w:rsidRDefault="004D2167" w:rsidP="004D2167">
      <w:r w:rsidRPr="0022629C">
        <w:t>Please refer to the </w:t>
      </w:r>
      <w:hyperlink r:id="rId13" w:tgtFrame="_blank" w:history="1">
        <w:r w:rsidRPr="0022629C">
          <w:rPr>
            <w:rStyle w:val="Hyperlink"/>
          </w:rPr>
          <w:t>Master Circular No. DBR.No.BP.BC.2/21.04.048/2015-16 dated July 1, 2015</w:t>
        </w:r>
      </w:hyperlink>
      <w:r w:rsidRPr="0022629C">
        <w:t> consolidating instructions / guidelines issued to banks till June 30, 2015 on matters relating to prudential norms on income recognition, asset classification and provisioning pertaining to advances.</w:t>
      </w:r>
    </w:p>
    <w:p w14:paraId="5D693B6C" w14:textId="77777777" w:rsidR="004D2167" w:rsidRPr="0022629C" w:rsidRDefault="004D2167" w:rsidP="004D2167">
      <w:r w:rsidRPr="0022629C">
        <w:t>2. This </w:t>
      </w:r>
      <w:hyperlink r:id="rId14" w:anchor="MD" w:history="1">
        <w:r w:rsidRPr="0022629C">
          <w:rPr>
            <w:rStyle w:val="Hyperlink"/>
          </w:rPr>
          <w:t>Master Circular</w:t>
        </w:r>
      </w:hyperlink>
      <w:r w:rsidRPr="0022629C">
        <w:t> consolidates instructions on the above matters issued as on date. A list of circulars consolidated in this Master Circular is contained in the </w:t>
      </w:r>
      <w:hyperlink r:id="rId15" w:anchor="AN6" w:history="1">
        <w:r w:rsidRPr="0022629C">
          <w:rPr>
            <w:rStyle w:val="Hyperlink"/>
          </w:rPr>
          <w:t>Annex 6</w:t>
        </w:r>
      </w:hyperlink>
      <w:r w:rsidRPr="0022629C">
        <w:t>.</w:t>
      </w:r>
    </w:p>
    <w:p w14:paraId="29197FA5" w14:textId="77777777" w:rsidR="004D2167" w:rsidRPr="0022629C" w:rsidRDefault="004D2167" w:rsidP="004D2167">
      <w:r w:rsidRPr="0022629C">
        <w:t>Yours faithfully</w:t>
      </w:r>
    </w:p>
    <w:p w14:paraId="52429583" w14:textId="77777777" w:rsidR="004D2167" w:rsidRPr="0022629C" w:rsidRDefault="004D2167" w:rsidP="004D2167">
      <w:r w:rsidRPr="0022629C">
        <w:t>(</w:t>
      </w:r>
      <w:proofErr w:type="spellStart"/>
      <w:r w:rsidRPr="0022629C">
        <w:t>Manoranjan</w:t>
      </w:r>
      <w:proofErr w:type="spellEnd"/>
      <w:r w:rsidRPr="0022629C">
        <w:t xml:space="preserve"> Mishra)</w:t>
      </w:r>
      <w:r w:rsidRPr="0022629C">
        <w:br/>
        <w:t>Chief General Manager</w:t>
      </w:r>
    </w:p>
    <w:p w14:paraId="5F6EA1BF" w14:textId="77777777" w:rsidR="004D2167" w:rsidRPr="0022629C" w:rsidRDefault="004D2167" w:rsidP="004D2167">
      <w:r w:rsidRPr="0022629C">
        <w:t>Encl.: As above</w:t>
      </w:r>
    </w:p>
    <w:p w14:paraId="32401074" w14:textId="75EE01B3" w:rsidR="004D2167" w:rsidRDefault="004D2167" w:rsidP="004D2167">
      <w:pPr>
        <w:rPr>
          <w:rStyle w:val="Hyperlink"/>
        </w:rPr>
      </w:pPr>
      <w:r>
        <w:t xml:space="preserve">Reference link: </w:t>
      </w:r>
      <w:hyperlink r:id="rId16" w:history="1">
        <w:r w:rsidRPr="00D972C1">
          <w:rPr>
            <w:rStyle w:val="Hyperlink"/>
          </w:rPr>
          <w:t>https://www.rbi.org.in/Scripts/NotificationUser.aspx?Id=12171&amp;Mode=0</w:t>
        </w:r>
      </w:hyperlink>
    </w:p>
    <w:p w14:paraId="46C41D33" w14:textId="727E0C6A" w:rsidR="004D2167" w:rsidRDefault="004D2167" w:rsidP="004D2167">
      <w:pPr>
        <w:rPr>
          <w:rStyle w:val="Hyperlink"/>
        </w:rPr>
      </w:pPr>
    </w:p>
    <w:p w14:paraId="68AF44A1" w14:textId="63B338F4" w:rsidR="004D2167" w:rsidRDefault="004D2167" w:rsidP="004D2167">
      <w:pPr>
        <w:rPr>
          <w:rStyle w:val="Hyperlink"/>
        </w:rPr>
      </w:pPr>
    </w:p>
    <w:p w14:paraId="6D9CD1D6" w14:textId="25AD3971" w:rsidR="004D2167" w:rsidRDefault="004D2167" w:rsidP="004D2167">
      <w:pPr>
        <w:rPr>
          <w:rStyle w:val="Hyperlink"/>
        </w:rPr>
      </w:pPr>
    </w:p>
    <w:p w14:paraId="018172CE" w14:textId="12DC7E83" w:rsidR="004D2167" w:rsidRDefault="004D2167" w:rsidP="004D2167">
      <w:pPr>
        <w:rPr>
          <w:rStyle w:val="Hyperlink"/>
        </w:rPr>
      </w:pPr>
    </w:p>
    <w:p w14:paraId="2FEE1B71" w14:textId="76799BF1" w:rsidR="004D2167" w:rsidRDefault="004D2167" w:rsidP="004D2167">
      <w:pPr>
        <w:rPr>
          <w:rStyle w:val="Hyperlink"/>
        </w:rPr>
      </w:pPr>
    </w:p>
    <w:p w14:paraId="3260737F" w14:textId="6D33BF82" w:rsidR="004D2167" w:rsidRDefault="004D2167" w:rsidP="004D2167">
      <w:pPr>
        <w:rPr>
          <w:rStyle w:val="Hyperlink"/>
        </w:rPr>
      </w:pPr>
    </w:p>
    <w:p w14:paraId="7546C6AC" w14:textId="420FE720" w:rsidR="004D2167" w:rsidRDefault="004D2167" w:rsidP="004D2167">
      <w:pPr>
        <w:rPr>
          <w:rStyle w:val="Hyperlink"/>
        </w:rPr>
      </w:pPr>
    </w:p>
    <w:p w14:paraId="772282D3" w14:textId="788B0105" w:rsidR="004D2167" w:rsidRDefault="004D2167" w:rsidP="004D2167">
      <w:pPr>
        <w:rPr>
          <w:rStyle w:val="Hyperlink"/>
        </w:rPr>
      </w:pPr>
    </w:p>
    <w:p w14:paraId="07B31AB3" w14:textId="2C39FE90" w:rsidR="004D2167" w:rsidRDefault="004D2167" w:rsidP="004D2167">
      <w:pPr>
        <w:rPr>
          <w:rStyle w:val="Hyperlink"/>
        </w:rPr>
      </w:pPr>
    </w:p>
    <w:p w14:paraId="47E7AE16" w14:textId="45E2D45F" w:rsidR="004D2167" w:rsidRDefault="004D2167" w:rsidP="004D2167">
      <w:pPr>
        <w:rPr>
          <w:rStyle w:val="Hyperlink"/>
        </w:rPr>
      </w:pPr>
    </w:p>
    <w:p w14:paraId="29FA1CE6" w14:textId="6CF6B653" w:rsidR="004D2167" w:rsidRDefault="004D2167" w:rsidP="004D2167">
      <w:pPr>
        <w:rPr>
          <w:rStyle w:val="Hyperlink"/>
        </w:rPr>
      </w:pPr>
    </w:p>
    <w:p w14:paraId="4FBD8297" w14:textId="65A79EB4" w:rsidR="004D2167" w:rsidRDefault="004D2167" w:rsidP="004D2167">
      <w:pPr>
        <w:rPr>
          <w:rStyle w:val="Hyperlink"/>
        </w:rPr>
      </w:pPr>
    </w:p>
    <w:p w14:paraId="6A804E48" w14:textId="25C97ABB" w:rsidR="004D2167" w:rsidRDefault="004D2167" w:rsidP="004D2167">
      <w:pPr>
        <w:rPr>
          <w:rStyle w:val="Hyperlink"/>
        </w:rPr>
      </w:pPr>
    </w:p>
    <w:p w14:paraId="3D762B8E" w14:textId="1CD2E3CA" w:rsidR="004D2167" w:rsidRDefault="004D2167" w:rsidP="004D2167">
      <w:pPr>
        <w:rPr>
          <w:rStyle w:val="Hyperlink"/>
        </w:rPr>
      </w:pPr>
    </w:p>
    <w:p w14:paraId="7561DD13" w14:textId="77777777" w:rsidR="004D2167" w:rsidRDefault="004D2167" w:rsidP="004D2167">
      <w:pPr>
        <w:rPr>
          <w:rFonts w:ascii="Arial" w:hAnsi="Arial" w:cs="Arial"/>
          <w:b/>
          <w:bCs/>
          <w:color w:val="000000"/>
          <w:sz w:val="20"/>
          <w:szCs w:val="20"/>
        </w:rPr>
      </w:pPr>
      <w:bookmarkStart w:id="5" w:name="_Hlk94635361"/>
      <w:r>
        <w:rPr>
          <w:rFonts w:ascii="Arial" w:hAnsi="Arial" w:cs="Arial"/>
          <w:b/>
          <w:bCs/>
          <w:color w:val="000000"/>
          <w:sz w:val="20"/>
          <w:szCs w:val="20"/>
        </w:rPr>
        <w:lastRenderedPageBreak/>
        <w:t>Enhancement of collateral free loans to Self Help Groups (SHGs) under DAY-NRLM from ₹10 lakh to ₹20 Lakh</w:t>
      </w:r>
    </w:p>
    <w:p w14:paraId="466B0D6D" w14:textId="77777777" w:rsidR="004D2167" w:rsidRPr="00EC1FAC" w:rsidRDefault="004D2167" w:rsidP="004D2167">
      <w:r w:rsidRPr="00EC1FAC">
        <w:t>RBI/2021-22/83</w:t>
      </w:r>
      <w:r w:rsidRPr="00EC1FAC">
        <w:br/>
        <w:t>FIDD.GSSD.CO.BC.No.09/09.01.003/2021-22</w:t>
      </w:r>
    </w:p>
    <w:p w14:paraId="13EEDB41" w14:textId="77777777" w:rsidR="004D2167" w:rsidRPr="00EC1FAC" w:rsidRDefault="004D2167" w:rsidP="004D2167">
      <w:r w:rsidRPr="00EC1FAC">
        <w:t>August 9, 2021</w:t>
      </w:r>
    </w:p>
    <w:p w14:paraId="4D5DF91F" w14:textId="77777777" w:rsidR="004D2167" w:rsidRPr="00EC1FAC" w:rsidRDefault="004D2167" w:rsidP="004D2167">
      <w:r w:rsidRPr="00EC1FAC">
        <w:t>The Chairman/ Managing Director/Chief Executive Officer</w:t>
      </w:r>
      <w:r w:rsidRPr="00EC1FAC">
        <w:br/>
        <w:t>Public Sector Banks</w:t>
      </w:r>
      <w:r w:rsidRPr="00EC1FAC">
        <w:br/>
        <w:t>Private Sector Banks</w:t>
      </w:r>
      <w:r w:rsidRPr="00EC1FAC">
        <w:br/>
        <w:t>(including Small Finance Banks)</w:t>
      </w:r>
    </w:p>
    <w:p w14:paraId="292AF00E" w14:textId="77777777" w:rsidR="004D2167" w:rsidRPr="00EC1FAC" w:rsidRDefault="004D2167" w:rsidP="004D2167">
      <w:r w:rsidRPr="00EC1FAC">
        <w:t>Madam/Dear Sir,</w:t>
      </w:r>
    </w:p>
    <w:p w14:paraId="6F482219" w14:textId="77777777" w:rsidR="004D2167" w:rsidRPr="00EC1FAC" w:rsidRDefault="004D2167" w:rsidP="004D2167">
      <w:pPr>
        <w:rPr>
          <w:b/>
          <w:bCs/>
        </w:rPr>
      </w:pPr>
      <w:r w:rsidRPr="00EC1FAC">
        <w:rPr>
          <w:b/>
          <w:bCs/>
        </w:rPr>
        <w:t>Enhancement of collateral free loans to Self Help Groups (SHGs) under DAY-NRLM from ₹10 lakh to ₹20 Lakh</w:t>
      </w:r>
    </w:p>
    <w:p w14:paraId="3D511131" w14:textId="77777777" w:rsidR="004D2167" w:rsidRPr="00EC1FAC" w:rsidRDefault="004D2167" w:rsidP="004D2167">
      <w:r w:rsidRPr="00EC1FAC">
        <w:t>Please refer to the </w:t>
      </w:r>
      <w:hyperlink r:id="rId17" w:tgtFrame="_blank" w:history="1">
        <w:r w:rsidRPr="00EC1FAC">
          <w:rPr>
            <w:rStyle w:val="Hyperlink"/>
          </w:rPr>
          <w:t>Master Circular FIDD.GSSD.CO.BC.No.04/09.01.01/2021-22 dated April 1, 2021</w:t>
        </w:r>
      </w:hyperlink>
      <w:r w:rsidRPr="00EC1FAC">
        <w:t xml:space="preserve">, on </w:t>
      </w:r>
      <w:proofErr w:type="spellStart"/>
      <w:r w:rsidRPr="00EC1FAC">
        <w:t>Deendayal</w:t>
      </w:r>
      <w:proofErr w:type="spellEnd"/>
      <w:r w:rsidRPr="00EC1FAC">
        <w:t xml:space="preserve"> </w:t>
      </w:r>
      <w:proofErr w:type="spellStart"/>
      <w:r w:rsidRPr="00EC1FAC">
        <w:t>Antyodaya</w:t>
      </w:r>
      <w:proofErr w:type="spellEnd"/>
      <w:r w:rsidRPr="00EC1FAC">
        <w:t xml:space="preserve"> </w:t>
      </w:r>
      <w:proofErr w:type="spellStart"/>
      <w:r w:rsidRPr="00EC1FAC">
        <w:t>Yojana</w:t>
      </w:r>
      <w:proofErr w:type="spellEnd"/>
      <w:r w:rsidRPr="00EC1FAC">
        <w:t xml:space="preserve"> - National Rural Livelihoods Mission (DAY-NRLM).</w:t>
      </w:r>
    </w:p>
    <w:p w14:paraId="6A0D653B" w14:textId="77777777" w:rsidR="004D2167" w:rsidRPr="00EC1FAC" w:rsidRDefault="004D2167" w:rsidP="004D2167">
      <w:r w:rsidRPr="00EC1FAC">
        <w:t>2. In this connection, the Government of India, vide their </w:t>
      </w:r>
      <w:hyperlink r:id="rId18" w:tgtFrame="_blank" w:history="1">
        <w:r w:rsidRPr="00EC1FAC">
          <w:rPr>
            <w:rStyle w:val="Hyperlink"/>
          </w:rPr>
          <w:t>Gazette Notification S.O. 2668(E) dated July 1, 2021</w:t>
        </w:r>
      </w:hyperlink>
      <w:r w:rsidRPr="00EC1FAC">
        <w:t>, has notified amendments in the Credit Guarantee Fund for Micro Units (CGFMU) Scheme in paragraph (2) sub-paragraph (xii) of the notification of the Government of India, Ministry of Finance (Department of Financial Services), </w:t>
      </w:r>
      <w:hyperlink r:id="rId19" w:tgtFrame="_blank" w:history="1">
        <w:r w:rsidRPr="00EC1FAC">
          <w:rPr>
            <w:rStyle w:val="Hyperlink"/>
          </w:rPr>
          <w:t>number S.O. 1443(E), dated the April 18, 2016</w:t>
        </w:r>
      </w:hyperlink>
      <w:r w:rsidRPr="00EC1FAC">
        <w:t>, published in the Gazette of India.</w:t>
      </w:r>
    </w:p>
    <w:p w14:paraId="1EF17FDF" w14:textId="77777777" w:rsidR="004D2167" w:rsidRPr="00EC1FAC" w:rsidRDefault="004D2167" w:rsidP="004D2167">
      <w:r w:rsidRPr="00EC1FAC">
        <w:t>3. In view of the above amendment, paragraph 7.4 of </w:t>
      </w:r>
      <w:hyperlink r:id="rId20" w:tgtFrame="_blank" w:history="1">
        <w:r w:rsidRPr="00EC1FAC">
          <w:rPr>
            <w:rStyle w:val="Hyperlink"/>
          </w:rPr>
          <w:t>RBI Master Circular FIDD.GSSD.CO.BC.No.04/09.01.01/2021-22 (on DAY-NRLM) dated April 01, 2021</w:t>
        </w:r>
      </w:hyperlink>
      <w:r w:rsidRPr="00EC1FAC">
        <w:t> stands modified as under:</w:t>
      </w:r>
    </w:p>
    <w:p w14:paraId="31C35605" w14:textId="77777777" w:rsidR="004D2167" w:rsidRPr="00EC1FAC" w:rsidRDefault="004D2167" w:rsidP="004D2167">
      <w:r w:rsidRPr="00EC1FAC">
        <w:t>7.4 Security and Margin:</w:t>
      </w:r>
    </w:p>
    <w:p w14:paraId="2DC7C6A6" w14:textId="77777777" w:rsidR="004D2167" w:rsidRPr="00EC1FAC" w:rsidRDefault="004D2167" w:rsidP="004D2167">
      <w:r w:rsidRPr="00EC1FAC">
        <w:t>7.4.1 For loans to SHGs up to ₹10.00 lakh, no collateral and no margin will be charged. No lien should be marked against savings bank account of SHGs and no deposits should be insisted upon while sanctioning loans.</w:t>
      </w:r>
    </w:p>
    <w:p w14:paraId="641C970F" w14:textId="77777777" w:rsidR="004D2167" w:rsidRPr="00EC1FAC" w:rsidRDefault="004D2167" w:rsidP="004D2167">
      <w:r w:rsidRPr="00EC1FAC">
        <w:t>7.4.2 For loans to SHGs above ₹10 lakh and up to ₹20 lakh, no collateral should be charged and no lien should be marked against savings bank account of SHGs. However, the entire loan (irrespective of the loan outstanding, even if it subsequently goes below ₹10 lakh) would be eligible for coverage under Credit Guarantee Fund for Micro Units (CGFMU).”</w:t>
      </w:r>
    </w:p>
    <w:p w14:paraId="37DC029A" w14:textId="77777777" w:rsidR="004D2167" w:rsidRPr="00EC1FAC" w:rsidRDefault="004D2167" w:rsidP="004D2167">
      <w:r w:rsidRPr="00EC1FAC">
        <w:t>4. All other provisions of the Master Circular remain unchanged.</w:t>
      </w:r>
    </w:p>
    <w:p w14:paraId="0E5C93DB" w14:textId="77777777" w:rsidR="004D2167" w:rsidRPr="00EC1FAC" w:rsidRDefault="004D2167" w:rsidP="004D2167">
      <w:r w:rsidRPr="00EC1FAC">
        <w:t>Yours faithfully</w:t>
      </w:r>
    </w:p>
    <w:p w14:paraId="10A0FE18" w14:textId="77777777" w:rsidR="004D2167" w:rsidRPr="00EC1FAC" w:rsidRDefault="004D2167" w:rsidP="004D2167">
      <w:r w:rsidRPr="00EC1FAC">
        <w:t>(Kaya Tripathi)</w:t>
      </w:r>
      <w:r w:rsidRPr="00EC1FAC">
        <w:br/>
        <w:t>Chief General Manager</w:t>
      </w:r>
    </w:p>
    <w:p w14:paraId="0B40A7C7" w14:textId="77777777" w:rsidR="004D2167" w:rsidRDefault="004D2167" w:rsidP="004D2167">
      <w:r>
        <w:t xml:space="preserve">Reference link: </w:t>
      </w:r>
      <w:hyperlink r:id="rId21" w:history="1">
        <w:r w:rsidRPr="00D972C1">
          <w:rPr>
            <w:rStyle w:val="Hyperlink"/>
          </w:rPr>
          <w:t>https://www.rbi.org.in/Scripts/NotificationUser.aspx?Id=12143&amp;Mode=0</w:t>
        </w:r>
      </w:hyperlink>
    </w:p>
    <w:p w14:paraId="4A713497" w14:textId="77777777" w:rsidR="004D2167" w:rsidRDefault="004D2167" w:rsidP="004D2167"/>
    <w:bookmarkEnd w:id="5"/>
    <w:p w14:paraId="73FB60A4" w14:textId="77777777" w:rsidR="004D2167" w:rsidRDefault="004D2167" w:rsidP="004D2167">
      <w:r>
        <w:br w:type="page"/>
      </w:r>
    </w:p>
    <w:p w14:paraId="0DB760FA" w14:textId="77777777" w:rsidR="004D2167" w:rsidRDefault="004D2167" w:rsidP="004D2167">
      <w:pPr>
        <w:rPr>
          <w:rFonts w:ascii="Arial" w:hAnsi="Arial" w:cs="Arial"/>
          <w:b/>
          <w:bCs/>
          <w:color w:val="000000"/>
          <w:sz w:val="20"/>
          <w:szCs w:val="20"/>
        </w:rPr>
      </w:pPr>
      <w:bookmarkStart w:id="6" w:name="_Hlk94637460"/>
      <w:r>
        <w:rPr>
          <w:rFonts w:ascii="Arial" w:hAnsi="Arial" w:cs="Arial"/>
          <w:b/>
          <w:bCs/>
          <w:color w:val="000000"/>
          <w:sz w:val="20"/>
          <w:szCs w:val="20"/>
        </w:rPr>
        <w:lastRenderedPageBreak/>
        <w:t>Section 24 of the Banking Regulation Act, 1949 – Maintenance of Statutory Liquidity Ratio (SLR) – Marginal Standing Facility (MSF) - Extension of Relaxation</w:t>
      </w:r>
    </w:p>
    <w:p w14:paraId="4F1011CA" w14:textId="77777777" w:rsidR="004D2167" w:rsidRPr="008F7137" w:rsidRDefault="004D2167" w:rsidP="004D2167">
      <w:r w:rsidRPr="008F7137">
        <w:t>RBI/2021-22/82</w:t>
      </w:r>
      <w:r w:rsidRPr="008F7137">
        <w:br/>
        <w:t>DOR.RET.REC.36/12.01.001/2021-22</w:t>
      </w:r>
    </w:p>
    <w:p w14:paraId="36874A59" w14:textId="77777777" w:rsidR="004D2167" w:rsidRPr="008F7137" w:rsidRDefault="004D2167" w:rsidP="004D2167">
      <w:r w:rsidRPr="008F7137">
        <w:t>August 09, 2021</w:t>
      </w:r>
    </w:p>
    <w:p w14:paraId="7F3C1B9C" w14:textId="77777777" w:rsidR="004D2167" w:rsidRPr="008F7137" w:rsidRDefault="004D2167" w:rsidP="004D2167">
      <w:r w:rsidRPr="008F7137">
        <w:t>All Scheduled Banks</w:t>
      </w:r>
    </w:p>
    <w:p w14:paraId="3FFC235D" w14:textId="77777777" w:rsidR="004D2167" w:rsidRPr="008F7137" w:rsidRDefault="004D2167" w:rsidP="004D2167">
      <w:r w:rsidRPr="008F7137">
        <w:t>Madam/Sir</w:t>
      </w:r>
    </w:p>
    <w:p w14:paraId="46E56BA5" w14:textId="77777777" w:rsidR="004D2167" w:rsidRPr="008F7137" w:rsidRDefault="004D2167" w:rsidP="004D2167">
      <w:pPr>
        <w:rPr>
          <w:b/>
          <w:bCs/>
        </w:rPr>
      </w:pPr>
      <w:r w:rsidRPr="008F7137">
        <w:rPr>
          <w:b/>
          <w:bCs/>
        </w:rPr>
        <w:t>Section 24 of the Banking Regulation Act, 1949 – Maintenance of Statutory Liquidity</w:t>
      </w:r>
      <w:r w:rsidRPr="008F7137">
        <w:rPr>
          <w:b/>
          <w:bCs/>
        </w:rPr>
        <w:br/>
        <w:t>Ratio (SLR) – Marginal Standing Facility (MSF) - Extension of Relaxation</w:t>
      </w:r>
    </w:p>
    <w:p w14:paraId="6A5F7001" w14:textId="77777777" w:rsidR="004D2167" w:rsidRPr="008F7137" w:rsidRDefault="004D2167" w:rsidP="004D2167">
      <w:r w:rsidRPr="008F7137">
        <w:t>Please refer to </w:t>
      </w:r>
      <w:hyperlink r:id="rId22" w:tgtFrame="_blank" w:history="1">
        <w:r w:rsidRPr="008F7137">
          <w:rPr>
            <w:rStyle w:val="Hyperlink"/>
          </w:rPr>
          <w:t>circular DOR.No.Ret.BC.36/12.01.001/2020-21 dated February 05, 2021</w:t>
        </w:r>
      </w:hyperlink>
      <w:r w:rsidRPr="008F7137">
        <w:t>, on Marginal Standing Facility (MSF), wherein the banks were allowed to avail of funds under the MSF by dipping into the Statutory Liquidity Ratio (SLR) up to an additional one per cent of their net demand and time liabilities (NDTL), i.e., cumulatively up to three per cent of NDTL. This facility, which was initially available up to June 30, 2020, was later extended in phases up to September 30, 2021, providing comfort to banks on their liquidity requirements and also to enable them to meet their Liquidity Coverage Ratio (LCR) requirements.</w:t>
      </w:r>
    </w:p>
    <w:p w14:paraId="6A58D91C" w14:textId="77777777" w:rsidR="004D2167" w:rsidRPr="008F7137" w:rsidRDefault="004D2167" w:rsidP="004D2167">
      <w:r w:rsidRPr="008F7137">
        <w:t>2. As announced in the </w:t>
      </w:r>
      <w:hyperlink r:id="rId23" w:tgtFrame="_blank" w:history="1">
        <w:r w:rsidRPr="008F7137">
          <w:rPr>
            <w:rStyle w:val="Hyperlink"/>
          </w:rPr>
          <w:t>Statement on Developmental and Regulatory Policies of August 06, 2021</w:t>
        </w:r>
      </w:hyperlink>
      <w:r w:rsidRPr="008F7137">
        <w:t>, with a view to providing comfort to banks on their liquidity requirements, banks are allowed to continue with the MSF relaxation for a further period of three months, i.e., up to December 31, 2021.</w:t>
      </w:r>
    </w:p>
    <w:p w14:paraId="6D8E05F3" w14:textId="77777777" w:rsidR="004D2167" w:rsidRPr="008F7137" w:rsidRDefault="004D2167" w:rsidP="004D2167">
      <w:r w:rsidRPr="008F7137">
        <w:t>Yours faithfully</w:t>
      </w:r>
    </w:p>
    <w:p w14:paraId="7C872200" w14:textId="77777777" w:rsidR="004D2167" w:rsidRPr="008F7137" w:rsidRDefault="004D2167" w:rsidP="004D2167">
      <w:r w:rsidRPr="008F7137">
        <w:t>(Thomas Mathew)</w:t>
      </w:r>
      <w:r w:rsidRPr="008F7137">
        <w:br/>
        <w:t>Chief General Manager</w:t>
      </w:r>
    </w:p>
    <w:p w14:paraId="67305B66" w14:textId="77777777" w:rsidR="004D2167" w:rsidRDefault="004D2167" w:rsidP="004D2167">
      <w:r>
        <w:t xml:space="preserve">Reference link: </w:t>
      </w:r>
      <w:hyperlink r:id="rId24" w:history="1">
        <w:r w:rsidRPr="00D972C1">
          <w:rPr>
            <w:rStyle w:val="Hyperlink"/>
          </w:rPr>
          <w:t>https://www.rbi.org.in/Scripts/NotificationUser.aspx?Id=12142&amp;Mode=0</w:t>
        </w:r>
      </w:hyperlink>
    </w:p>
    <w:bookmarkEnd w:id="6"/>
    <w:p w14:paraId="452F4C91" w14:textId="77777777" w:rsidR="004D2167" w:rsidRDefault="004D2167" w:rsidP="004D2167"/>
    <w:p w14:paraId="429941D3" w14:textId="77777777" w:rsidR="004D2167" w:rsidRDefault="004D2167" w:rsidP="004D2167">
      <w:r>
        <w:br w:type="page"/>
      </w:r>
    </w:p>
    <w:p w14:paraId="41E3269E" w14:textId="77777777" w:rsidR="004D2167" w:rsidRDefault="004D2167" w:rsidP="004D2167"/>
    <w:bookmarkEnd w:id="3"/>
    <w:p w14:paraId="5EC3F37A" w14:textId="77777777" w:rsidR="004D2167" w:rsidRDefault="004D2167" w:rsidP="004D2167"/>
    <w:bookmarkEnd w:id="4"/>
    <w:p w14:paraId="1E607826" w14:textId="77777777" w:rsidR="004D2167" w:rsidRDefault="004D2167" w:rsidP="004D2167">
      <w:r>
        <w:br w:type="page"/>
      </w:r>
    </w:p>
    <w:p w14:paraId="39E2147C" w14:textId="6D782ADC" w:rsidR="004D2167" w:rsidRDefault="004D2167"/>
    <w:sectPr w:rsidR="004D21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67"/>
    <w:rsid w:val="001A37E6"/>
    <w:rsid w:val="002E702F"/>
    <w:rsid w:val="002F0B9C"/>
    <w:rsid w:val="004D2167"/>
    <w:rsid w:val="009975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F04D"/>
  <w15:chartTrackingRefBased/>
  <w15:docId w15:val="{84A37A46-30B7-48C3-A8CD-BD912C4A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167"/>
    <w:rPr>
      <w:color w:val="0563C1" w:themeColor="hyperlink"/>
      <w:u w:val="single"/>
    </w:rPr>
  </w:style>
  <w:style w:type="table" w:styleId="TableGrid">
    <w:name w:val="Table Grid"/>
    <w:basedOn w:val="TableNormal"/>
    <w:uiPriority w:val="39"/>
    <w:rsid w:val="002F0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BS_ViewMasCirculardetails.aspx?id=9813" TargetMode="External"/><Relationship Id="rId13" Type="http://schemas.openxmlformats.org/officeDocument/2006/relationships/hyperlink" Target="https://www.rbi.org.in/Scripts/BS_ViewMasCirculardetails.aspx?id=9908" TargetMode="External"/><Relationship Id="rId18" Type="http://schemas.openxmlformats.org/officeDocument/2006/relationships/hyperlink" Target="https://rbidocs.rbi.org.in/rdocs/content/pdfs/CGFMUN01072021.pd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rbi.org.in/Scripts/NotificationUser.aspx?Id=12143&amp;Mode=0" TargetMode="External"/><Relationship Id="rId7" Type="http://schemas.openxmlformats.org/officeDocument/2006/relationships/hyperlink" Target="https://www.rbi.org.in/Scripts/NotificationUser.aspx?Id=12194&amp;Mode=0" TargetMode="External"/><Relationship Id="rId12" Type="http://schemas.openxmlformats.org/officeDocument/2006/relationships/hyperlink" Target="https://www.rbi.org.in/Scripts/NotificationUser.aspx?Id=12187&amp;Mode=0" TargetMode="External"/><Relationship Id="rId17" Type="http://schemas.openxmlformats.org/officeDocument/2006/relationships/hyperlink" Target="https://www.rbi.org.in/Scripts/BS_ViewMasCirculardetails.aspx?id=12062"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rbi.org.in/Scripts/NotificationUser.aspx?Id=12171&amp;Mode=0" TargetMode="External"/><Relationship Id="rId20" Type="http://schemas.openxmlformats.org/officeDocument/2006/relationships/hyperlink" Target="https://www.rbi.org.in/Scripts/BS_ViewMasCirculardetails.aspx?id=12062" TargetMode="External"/><Relationship Id="rId1" Type="http://schemas.openxmlformats.org/officeDocument/2006/relationships/styles" Target="styles.xml"/><Relationship Id="rId6" Type="http://schemas.openxmlformats.org/officeDocument/2006/relationships/hyperlink" Target="https://www.rbi.org.in/Scripts/BS_ViewMasCirculardetails.aspx?id=12171" TargetMode="External"/><Relationship Id="rId11" Type="http://schemas.openxmlformats.org/officeDocument/2006/relationships/hyperlink" Target="https://www.rbi.org.in/Scripts/NotificationUser.aspx?Id=12187&amp;Mode=0" TargetMode="External"/><Relationship Id="rId24" Type="http://schemas.openxmlformats.org/officeDocument/2006/relationships/hyperlink" Target="https://www.rbi.org.in/Scripts/NotificationUser.aspx?Id=12142&amp;Mode=0" TargetMode="External"/><Relationship Id="rId5" Type="http://schemas.openxmlformats.org/officeDocument/2006/relationships/hyperlink" Target="https://www.rbi.org.in/Scripts/NotificationUser.aspx?Id=12213&amp;Mode=0" TargetMode="External"/><Relationship Id="rId15" Type="http://schemas.openxmlformats.org/officeDocument/2006/relationships/hyperlink" Target="https://www.rbi.org.in/Scripts/NotificationUser.aspx?Id=12171&amp;Mode=0" TargetMode="External"/><Relationship Id="rId23" Type="http://schemas.openxmlformats.org/officeDocument/2006/relationships/hyperlink" Target="https://rbi.org.in/Scripts/BS_PressReleaseDisplay.aspx?prid=52010" TargetMode="External"/><Relationship Id="rId10" Type="http://schemas.openxmlformats.org/officeDocument/2006/relationships/hyperlink" Target="https://www.rbi.org.in/Scripts/NotificationUser.aspx?Id=12187&amp;Mode=0" TargetMode="External"/><Relationship Id="rId19" Type="http://schemas.openxmlformats.org/officeDocument/2006/relationships/hyperlink" Target="https://rbidocs.rbi.org.in/rdocs/content/pdfs/CGFMUN18042016.pdf" TargetMode="External"/><Relationship Id="rId4" Type="http://schemas.openxmlformats.org/officeDocument/2006/relationships/hyperlink" Target="https://www.rbi.org.in/Scripts/NotificationUser.aspx?Id=12083&amp;Mode=0" TargetMode="External"/><Relationship Id="rId9" Type="http://schemas.openxmlformats.org/officeDocument/2006/relationships/hyperlink" Target="https://rbi.org.in/" TargetMode="External"/><Relationship Id="rId14" Type="http://schemas.openxmlformats.org/officeDocument/2006/relationships/hyperlink" Target="https://www.rbi.org.in/Scripts/NotificationUser.aspx?Id=12171&amp;Mode=0" TargetMode="External"/><Relationship Id="rId22" Type="http://schemas.openxmlformats.org/officeDocument/2006/relationships/hyperlink" Target="https://www.rbi.org.in/Scripts/NotificationUser.aspx?Id=12021&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3</cp:revision>
  <dcterms:created xsi:type="dcterms:W3CDTF">2022-02-01T14:26:00Z</dcterms:created>
  <dcterms:modified xsi:type="dcterms:W3CDTF">2022-02-08T07:12:00Z</dcterms:modified>
</cp:coreProperties>
</file>