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34CB1" w14:textId="64174680" w:rsidR="006F5A25" w:rsidRPr="005C5F02" w:rsidRDefault="005C5F02" w:rsidP="005C5F02">
      <w:pPr>
        <w:jc w:val="center"/>
        <w:rPr>
          <w:b/>
          <w:bCs/>
          <w:sz w:val="28"/>
          <w:szCs w:val="28"/>
        </w:rPr>
      </w:pPr>
      <w:bookmarkStart w:id="0" w:name="_Hlk44435719"/>
      <w:proofErr w:type="spellStart"/>
      <w:r w:rsidRPr="005C5F02">
        <w:rPr>
          <w:b/>
          <w:bCs/>
          <w:sz w:val="28"/>
          <w:szCs w:val="28"/>
        </w:rPr>
        <w:t>CAIIB_Advanced</w:t>
      </w:r>
      <w:proofErr w:type="spellEnd"/>
      <w:r w:rsidRPr="005C5F02">
        <w:rPr>
          <w:b/>
          <w:bCs/>
          <w:sz w:val="28"/>
          <w:szCs w:val="28"/>
        </w:rPr>
        <w:t xml:space="preserve"> Bank Management</w:t>
      </w:r>
    </w:p>
    <w:p w14:paraId="3F49A3B2" w14:textId="56E6FC9C" w:rsidR="005C5F02" w:rsidRPr="00037042" w:rsidRDefault="005C5F02" w:rsidP="00AE747B">
      <w:pPr>
        <w:pBdr>
          <w:top w:val="single" w:sz="4" w:space="1" w:color="auto"/>
          <w:left w:val="single" w:sz="4" w:space="4" w:color="auto"/>
          <w:bottom w:val="single" w:sz="4" w:space="1" w:color="auto"/>
          <w:right w:val="single" w:sz="4" w:space="4" w:color="auto"/>
        </w:pBdr>
        <w:spacing w:after="0" w:line="240" w:lineRule="auto"/>
        <w:ind w:left="567" w:right="567"/>
        <w:jc w:val="center"/>
        <w:rPr>
          <w:rFonts w:cstheme="minorHAnsi"/>
          <w:b/>
          <w:bCs/>
          <w:sz w:val="28"/>
          <w:szCs w:val="28"/>
        </w:rPr>
      </w:pPr>
      <w:r w:rsidRPr="00037042">
        <w:rPr>
          <w:rFonts w:cstheme="minorHAnsi"/>
          <w:b/>
          <w:bCs/>
          <w:sz w:val="28"/>
          <w:szCs w:val="28"/>
        </w:rPr>
        <w:t>RBI</w:t>
      </w:r>
      <w:r w:rsidR="00AE747B">
        <w:rPr>
          <w:rFonts w:cstheme="minorHAnsi"/>
          <w:b/>
          <w:bCs/>
          <w:sz w:val="28"/>
          <w:szCs w:val="28"/>
        </w:rPr>
        <w:t xml:space="preserve"> </w:t>
      </w:r>
      <w:r w:rsidRPr="00037042">
        <w:rPr>
          <w:rFonts w:cstheme="minorHAnsi"/>
          <w:b/>
          <w:bCs/>
          <w:sz w:val="28"/>
          <w:szCs w:val="28"/>
        </w:rPr>
        <w:t>and Gazette Notifications during the period 1st January 2020 to 30th June 2020</w:t>
      </w:r>
    </w:p>
    <w:p w14:paraId="0719B557" w14:textId="77777777" w:rsidR="005C5F02" w:rsidRDefault="005C5F02" w:rsidP="005C5F02">
      <w:pPr>
        <w:spacing w:after="0" w:line="240" w:lineRule="auto"/>
        <w:jc w:val="both"/>
        <w:rPr>
          <w:rFonts w:ascii="Times New Roman" w:hAnsi="Times New Roman" w:cs="Times New Roman"/>
          <w:b/>
          <w:bCs/>
          <w:sz w:val="24"/>
          <w:szCs w:val="24"/>
        </w:rPr>
      </w:pPr>
    </w:p>
    <w:p w14:paraId="004E7DA3" w14:textId="77777777" w:rsidR="005C5F02" w:rsidRDefault="005C5F02" w:rsidP="005C5F02">
      <w:pPr>
        <w:spacing w:after="0" w:line="240" w:lineRule="auto"/>
        <w:jc w:val="both"/>
        <w:rPr>
          <w:rFonts w:ascii="Times New Roman" w:hAnsi="Times New Roman" w:cs="Times New Roman"/>
          <w:b/>
          <w:bCs/>
          <w:sz w:val="24"/>
          <w:szCs w:val="24"/>
        </w:rPr>
      </w:pPr>
    </w:p>
    <w:p w14:paraId="6D1FB302" w14:textId="77777777" w:rsidR="005C5F02"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Incentivising Bank Credit to Specific Sectors – Exemption from </w:t>
      </w:r>
      <w:proofErr w:type="spellStart"/>
      <w:r w:rsidRPr="00C902C8">
        <w:rPr>
          <w:rFonts w:ascii="Times New Roman" w:hAnsi="Times New Roman" w:cs="Times New Roman"/>
          <w:b/>
          <w:bCs/>
          <w:sz w:val="24"/>
          <w:szCs w:val="24"/>
        </w:rPr>
        <w:t>CRR</w:t>
      </w:r>
      <w:proofErr w:type="spellEnd"/>
      <w:r w:rsidRPr="00C902C8">
        <w:rPr>
          <w:rFonts w:ascii="Times New Roman" w:hAnsi="Times New Roman" w:cs="Times New Roman"/>
          <w:b/>
          <w:bCs/>
          <w:sz w:val="24"/>
          <w:szCs w:val="24"/>
        </w:rPr>
        <w:t xml:space="preserve"> Maintenance</w:t>
      </w:r>
    </w:p>
    <w:p w14:paraId="74233548" w14:textId="77777777" w:rsidR="005C5F02" w:rsidRPr="00C902C8" w:rsidRDefault="005C5F02" w:rsidP="005C5F02">
      <w:pPr>
        <w:spacing w:after="0" w:line="240" w:lineRule="auto"/>
        <w:jc w:val="both"/>
        <w:rPr>
          <w:rFonts w:ascii="Times New Roman" w:hAnsi="Times New Roman" w:cs="Times New Roman"/>
          <w:b/>
          <w:bCs/>
          <w:sz w:val="24"/>
          <w:szCs w:val="24"/>
        </w:rPr>
      </w:pPr>
    </w:p>
    <w:p w14:paraId="05BFF82E"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RBI/2019-20/159 </w:t>
      </w:r>
      <w:proofErr w:type="spellStart"/>
      <w:proofErr w:type="gramStart"/>
      <w:r w:rsidRPr="00C902C8">
        <w:rPr>
          <w:rFonts w:ascii="Times New Roman" w:hAnsi="Times New Roman" w:cs="Times New Roman"/>
          <w:sz w:val="24"/>
          <w:szCs w:val="24"/>
        </w:rPr>
        <w:t>DOR.No.Ret.BC</w:t>
      </w:r>
      <w:proofErr w:type="gramEnd"/>
      <w:r w:rsidRPr="00C902C8">
        <w:rPr>
          <w:rFonts w:ascii="Times New Roman" w:hAnsi="Times New Roman" w:cs="Times New Roman"/>
          <w:sz w:val="24"/>
          <w:szCs w:val="24"/>
        </w:rPr>
        <w:t>.30</w:t>
      </w:r>
      <w:proofErr w:type="spellEnd"/>
      <w:r w:rsidRPr="00C902C8">
        <w:rPr>
          <w:rFonts w:ascii="Times New Roman" w:hAnsi="Times New Roman" w:cs="Times New Roman"/>
          <w:sz w:val="24"/>
          <w:szCs w:val="24"/>
        </w:rPr>
        <w:t xml:space="preserve">/12.01.001/2019-20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February 10, 2020</w:t>
      </w:r>
    </w:p>
    <w:p w14:paraId="30A0BB47" w14:textId="77777777" w:rsidR="005C5F02" w:rsidRPr="00C902C8" w:rsidRDefault="005C5F02" w:rsidP="005C5F02">
      <w:pPr>
        <w:spacing w:after="0" w:line="240" w:lineRule="auto"/>
        <w:jc w:val="both"/>
        <w:rPr>
          <w:rFonts w:ascii="Times New Roman" w:hAnsi="Times New Roman" w:cs="Times New Roman"/>
          <w:sz w:val="24"/>
          <w:szCs w:val="24"/>
        </w:rPr>
      </w:pPr>
    </w:p>
    <w:p w14:paraId="213D5FF9"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w:t>
      </w:r>
    </w:p>
    <w:p w14:paraId="4A978A61" w14:textId="77777777" w:rsidR="005C5F02" w:rsidRPr="00C902C8" w:rsidRDefault="005C5F02" w:rsidP="005C5F02">
      <w:pPr>
        <w:spacing w:after="0" w:line="240" w:lineRule="auto"/>
        <w:jc w:val="both"/>
        <w:rPr>
          <w:rFonts w:ascii="Times New Roman" w:hAnsi="Times New Roman" w:cs="Times New Roman"/>
          <w:sz w:val="24"/>
          <w:szCs w:val="24"/>
        </w:rPr>
      </w:pPr>
    </w:p>
    <w:p w14:paraId="32A48A8C"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It has been announced in paragraph 3 of the Statement on Developmental and Regulatory Policies of February 6, 2020, that the Reserve Bank is actively engaged in revitalising the flow of bank credit to productive sectors having multiplier effects to support growth impulses. Accordingly, banks are allowed to deduct the equivalent amount of incremental credit disbursed by them as retail loans to automobiles, residential housing, and loans to micro, small and medium enterprises (MSMEs), over and above the outstanding level of credit to these segments as at the end of the fortnight ended January 31, 2020 from their net demand and time liabilities (</w:t>
      </w:r>
      <w:proofErr w:type="spellStart"/>
      <w:r w:rsidRPr="00C902C8">
        <w:rPr>
          <w:rFonts w:ascii="Times New Roman" w:hAnsi="Times New Roman" w:cs="Times New Roman"/>
          <w:sz w:val="24"/>
          <w:szCs w:val="24"/>
        </w:rPr>
        <w:t>NDTL</w:t>
      </w:r>
      <w:proofErr w:type="spellEnd"/>
      <w:r w:rsidRPr="00C902C8">
        <w:rPr>
          <w:rFonts w:ascii="Times New Roman" w:hAnsi="Times New Roman" w:cs="Times New Roman"/>
          <w:sz w:val="24"/>
          <w:szCs w:val="24"/>
        </w:rPr>
        <w:t>) for maintenance of the cash reserve ratio (</w:t>
      </w:r>
      <w:proofErr w:type="spellStart"/>
      <w:r w:rsidRPr="00C902C8">
        <w:rPr>
          <w:rFonts w:ascii="Times New Roman" w:hAnsi="Times New Roman" w:cs="Times New Roman"/>
          <w:sz w:val="24"/>
          <w:szCs w:val="24"/>
        </w:rPr>
        <w:t>CRR</w:t>
      </w:r>
      <w:proofErr w:type="spellEnd"/>
      <w:r w:rsidRPr="00C902C8">
        <w:rPr>
          <w:rFonts w:ascii="Times New Roman" w:hAnsi="Times New Roman" w:cs="Times New Roman"/>
          <w:sz w:val="24"/>
          <w:szCs w:val="24"/>
        </w:rPr>
        <w:t>).</w:t>
      </w:r>
    </w:p>
    <w:p w14:paraId="6D63F87F" w14:textId="77777777" w:rsidR="005C5F02" w:rsidRPr="00C902C8" w:rsidRDefault="005C5F02" w:rsidP="005C5F02">
      <w:pPr>
        <w:spacing w:after="0" w:line="240" w:lineRule="auto"/>
        <w:jc w:val="both"/>
        <w:rPr>
          <w:rFonts w:ascii="Times New Roman" w:hAnsi="Times New Roman" w:cs="Times New Roman"/>
          <w:sz w:val="24"/>
          <w:szCs w:val="24"/>
        </w:rPr>
      </w:pPr>
    </w:p>
    <w:p w14:paraId="2F40FF99"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Banks are advised that they can claim the first such deduction from the </w:t>
      </w:r>
      <w:proofErr w:type="spellStart"/>
      <w:r w:rsidRPr="00C902C8">
        <w:rPr>
          <w:rFonts w:ascii="Times New Roman" w:hAnsi="Times New Roman" w:cs="Times New Roman"/>
          <w:sz w:val="24"/>
          <w:szCs w:val="24"/>
        </w:rPr>
        <w:t>NDTL</w:t>
      </w:r>
      <w:proofErr w:type="spellEnd"/>
      <w:r w:rsidRPr="00C902C8">
        <w:rPr>
          <w:rFonts w:ascii="Times New Roman" w:hAnsi="Times New Roman" w:cs="Times New Roman"/>
          <w:sz w:val="24"/>
          <w:szCs w:val="24"/>
        </w:rPr>
        <w:t xml:space="preserve"> of February 14, 2020 for the amount equivalent to the incremental credit extended to the sectors indicated above over the outstanding level of credit as at the end of the fortnight ended January 31, 2020.</w:t>
      </w:r>
    </w:p>
    <w:p w14:paraId="6B9A53F1" w14:textId="77777777" w:rsidR="005C5F02" w:rsidRPr="00C902C8" w:rsidRDefault="005C5F02" w:rsidP="005C5F02">
      <w:pPr>
        <w:spacing w:after="0" w:line="240" w:lineRule="auto"/>
        <w:jc w:val="both"/>
        <w:rPr>
          <w:rFonts w:ascii="Times New Roman" w:hAnsi="Times New Roman" w:cs="Times New Roman"/>
          <w:sz w:val="24"/>
          <w:szCs w:val="24"/>
        </w:rPr>
      </w:pPr>
    </w:p>
    <w:p w14:paraId="1A9329B5"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An amount equivalent to the incremental credit outstanding from the fortnight beginning January 31, 2020 and up to the fortnight ending July 31, 2020 will be eligible for deduction from </w:t>
      </w:r>
      <w:proofErr w:type="spellStart"/>
      <w:r w:rsidRPr="00C902C8">
        <w:rPr>
          <w:rFonts w:ascii="Times New Roman" w:hAnsi="Times New Roman" w:cs="Times New Roman"/>
          <w:sz w:val="24"/>
          <w:szCs w:val="24"/>
        </w:rPr>
        <w:t>NDTL</w:t>
      </w:r>
      <w:proofErr w:type="spellEnd"/>
      <w:r w:rsidRPr="00C902C8">
        <w:rPr>
          <w:rFonts w:ascii="Times New Roman" w:hAnsi="Times New Roman" w:cs="Times New Roman"/>
          <w:sz w:val="24"/>
          <w:szCs w:val="24"/>
        </w:rPr>
        <w:t xml:space="preserve"> for the purpose of computing the </w:t>
      </w:r>
      <w:proofErr w:type="spellStart"/>
      <w:r w:rsidRPr="00C902C8">
        <w:rPr>
          <w:rFonts w:ascii="Times New Roman" w:hAnsi="Times New Roman" w:cs="Times New Roman"/>
          <w:sz w:val="24"/>
          <w:szCs w:val="24"/>
        </w:rPr>
        <w:t>CRR</w:t>
      </w:r>
      <w:proofErr w:type="spellEnd"/>
      <w:r w:rsidRPr="00C902C8">
        <w:rPr>
          <w:rFonts w:ascii="Times New Roman" w:hAnsi="Times New Roman" w:cs="Times New Roman"/>
          <w:sz w:val="24"/>
          <w:szCs w:val="24"/>
        </w:rPr>
        <w:t xml:space="preserve"> for a period of five years from the date of origination of the loan or the tenure of the loan, whichever is earlier.</w:t>
      </w:r>
    </w:p>
    <w:p w14:paraId="1AB3C0A0" w14:textId="77777777" w:rsidR="005C5F02" w:rsidRPr="00C902C8" w:rsidRDefault="005C5F02" w:rsidP="005C5F02">
      <w:pPr>
        <w:spacing w:after="0" w:line="240" w:lineRule="auto"/>
        <w:jc w:val="both"/>
        <w:rPr>
          <w:rFonts w:ascii="Times New Roman" w:hAnsi="Times New Roman" w:cs="Times New Roman"/>
          <w:sz w:val="24"/>
          <w:szCs w:val="24"/>
        </w:rPr>
      </w:pPr>
    </w:p>
    <w:p w14:paraId="7CF1729E"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are required to report the exemption availed at the end of a fortnight under “exemptions/others” in the Section-42 return, prescribed in Annex A to Form A as per Master Circular on Cash Reserve Ratio (</w:t>
      </w:r>
      <w:proofErr w:type="spellStart"/>
      <w:r w:rsidRPr="00C902C8">
        <w:rPr>
          <w:rFonts w:ascii="Times New Roman" w:hAnsi="Times New Roman" w:cs="Times New Roman"/>
          <w:sz w:val="24"/>
          <w:szCs w:val="24"/>
        </w:rPr>
        <w:t>CRR</w:t>
      </w:r>
      <w:proofErr w:type="spellEnd"/>
      <w:r w:rsidRPr="00C902C8">
        <w:rPr>
          <w:rFonts w:ascii="Times New Roman" w:hAnsi="Times New Roman" w:cs="Times New Roman"/>
          <w:sz w:val="24"/>
          <w:szCs w:val="24"/>
        </w:rPr>
        <w:t>) and Statutory Liquidity Ratio (</w:t>
      </w:r>
      <w:proofErr w:type="spellStart"/>
      <w:r w:rsidRPr="00C902C8">
        <w:rPr>
          <w:rFonts w:ascii="Times New Roman" w:hAnsi="Times New Roman" w:cs="Times New Roman"/>
          <w:sz w:val="24"/>
          <w:szCs w:val="24"/>
        </w:rPr>
        <w:t>SLR</w:t>
      </w:r>
      <w:proofErr w:type="spellEnd"/>
      <w:r w:rsidRPr="00C902C8">
        <w:rPr>
          <w:rFonts w:ascii="Times New Roman" w:hAnsi="Times New Roman" w:cs="Times New Roman"/>
          <w:sz w:val="24"/>
          <w:szCs w:val="24"/>
        </w:rPr>
        <w:t>) dated July 1, 2015. Proper fortnightly records of net incremental credit extended to the select sectors/</w:t>
      </w:r>
      <w:proofErr w:type="spellStart"/>
      <w:r w:rsidRPr="00C902C8">
        <w:rPr>
          <w:rFonts w:ascii="Times New Roman" w:hAnsi="Times New Roman" w:cs="Times New Roman"/>
          <w:sz w:val="24"/>
          <w:szCs w:val="24"/>
        </w:rPr>
        <w:t>NDTL</w:t>
      </w:r>
      <w:proofErr w:type="spellEnd"/>
      <w:r w:rsidRPr="00C902C8">
        <w:rPr>
          <w:rFonts w:ascii="Times New Roman" w:hAnsi="Times New Roman" w:cs="Times New Roman"/>
          <w:sz w:val="24"/>
          <w:szCs w:val="24"/>
        </w:rPr>
        <w:t xml:space="preserve"> exemption claimed, duly certified by the Chief Financial Officer (CFO) or an equivalent level officer, must be maintained by banks for supervisory review.</w:t>
      </w:r>
    </w:p>
    <w:p w14:paraId="55C715F4" w14:textId="77777777" w:rsidR="005C5F02" w:rsidRPr="00C902C8" w:rsidRDefault="005C5F02" w:rsidP="005C5F02">
      <w:pPr>
        <w:pBdr>
          <w:bottom w:val="single" w:sz="12" w:space="1" w:color="auto"/>
        </w:pBdr>
        <w:spacing w:after="0" w:line="240" w:lineRule="auto"/>
        <w:jc w:val="both"/>
        <w:rPr>
          <w:rFonts w:ascii="Times New Roman" w:hAnsi="Times New Roman" w:cs="Times New Roman"/>
          <w:sz w:val="24"/>
          <w:szCs w:val="24"/>
        </w:rPr>
      </w:pPr>
    </w:p>
    <w:p w14:paraId="51A20389" w14:textId="77777777" w:rsidR="005C5F02" w:rsidRPr="00C902C8" w:rsidRDefault="005C5F02" w:rsidP="005C5F02">
      <w:pPr>
        <w:spacing w:after="0" w:line="240" w:lineRule="auto"/>
        <w:jc w:val="both"/>
        <w:rPr>
          <w:rFonts w:ascii="Times New Roman" w:hAnsi="Times New Roman" w:cs="Times New Roman"/>
          <w:sz w:val="24"/>
          <w:szCs w:val="24"/>
        </w:rPr>
      </w:pPr>
    </w:p>
    <w:p w14:paraId="18374BC9" w14:textId="77777777" w:rsidR="00AE747B" w:rsidRDefault="00AE747B" w:rsidP="005C5F02">
      <w:pPr>
        <w:spacing w:after="0" w:line="240" w:lineRule="auto"/>
        <w:jc w:val="both"/>
        <w:rPr>
          <w:rFonts w:ascii="Times New Roman" w:hAnsi="Times New Roman" w:cs="Times New Roman"/>
          <w:b/>
          <w:bCs/>
          <w:sz w:val="24"/>
          <w:szCs w:val="24"/>
        </w:rPr>
      </w:pPr>
    </w:p>
    <w:p w14:paraId="7F1135CA" w14:textId="2D4DAECA" w:rsidR="005C5F02"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Section 42(1) of the Reserve Bank of India Act, 1934 - Change in Daily Minimum Cash Reserve Maintenance Requirement</w:t>
      </w:r>
    </w:p>
    <w:p w14:paraId="524986E2" w14:textId="77777777" w:rsidR="005C5F02" w:rsidRPr="00C902C8" w:rsidRDefault="005C5F02" w:rsidP="005C5F02">
      <w:pPr>
        <w:spacing w:after="0" w:line="240" w:lineRule="auto"/>
        <w:jc w:val="both"/>
        <w:rPr>
          <w:rFonts w:ascii="Times New Roman" w:hAnsi="Times New Roman" w:cs="Times New Roman"/>
          <w:b/>
          <w:bCs/>
          <w:sz w:val="24"/>
          <w:szCs w:val="24"/>
        </w:rPr>
      </w:pPr>
    </w:p>
    <w:p w14:paraId="69C879B8"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RBI/2019-20/192 </w:t>
      </w:r>
      <w:proofErr w:type="spellStart"/>
      <w:proofErr w:type="gramStart"/>
      <w:r w:rsidRPr="00C902C8">
        <w:rPr>
          <w:rFonts w:ascii="Times New Roman" w:hAnsi="Times New Roman" w:cs="Times New Roman"/>
          <w:sz w:val="24"/>
          <w:szCs w:val="24"/>
        </w:rPr>
        <w:t>DOR.No.Ret.BC</w:t>
      </w:r>
      <w:proofErr w:type="gramEnd"/>
      <w:r w:rsidRPr="00C902C8">
        <w:rPr>
          <w:rFonts w:ascii="Times New Roman" w:hAnsi="Times New Roman" w:cs="Times New Roman"/>
          <w:sz w:val="24"/>
          <w:szCs w:val="24"/>
        </w:rPr>
        <w:t>.51</w:t>
      </w:r>
      <w:proofErr w:type="spellEnd"/>
      <w:r w:rsidRPr="00C902C8">
        <w:rPr>
          <w:rFonts w:ascii="Times New Roman" w:hAnsi="Times New Roman" w:cs="Times New Roman"/>
          <w:sz w:val="24"/>
          <w:szCs w:val="24"/>
        </w:rPr>
        <w:t xml:space="preserve">/12.01.001/2019-20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27, 2020</w:t>
      </w:r>
    </w:p>
    <w:p w14:paraId="4AF27E15" w14:textId="77777777" w:rsidR="005C5F02" w:rsidRPr="00C902C8" w:rsidRDefault="005C5F02" w:rsidP="005C5F02">
      <w:pPr>
        <w:spacing w:after="0" w:line="240" w:lineRule="auto"/>
        <w:jc w:val="both"/>
        <w:rPr>
          <w:rFonts w:ascii="Times New Roman" w:hAnsi="Times New Roman" w:cs="Times New Roman"/>
          <w:sz w:val="24"/>
          <w:szCs w:val="24"/>
        </w:rPr>
      </w:pPr>
    </w:p>
    <w:p w14:paraId="53DBB73B"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Banks</w:t>
      </w:r>
    </w:p>
    <w:p w14:paraId="2F1136D7" w14:textId="77777777" w:rsidR="005C5F02" w:rsidRPr="00C902C8" w:rsidRDefault="005C5F02" w:rsidP="005C5F02">
      <w:pPr>
        <w:spacing w:after="0" w:line="240" w:lineRule="auto"/>
        <w:jc w:val="both"/>
        <w:rPr>
          <w:rFonts w:ascii="Times New Roman" w:hAnsi="Times New Roman" w:cs="Times New Roman"/>
          <w:sz w:val="24"/>
          <w:szCs w:val="24"/>
        </w:rPr>
      </w:pPr>
    </w:p>
    <w:p w14:paraId="427198DE"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our Circular </w:t>
      </w:r>
      <w:proofErr w:type="spellStart"/>
      <w:proofErr w:type="gramStart"/>
      <w:r w:rsidRPr="00C902C8">
        <w:rPr>
          <w:rFonts w:ascii="Times New Roman" w:hAnsi="Times New Roman" w:cs="Times New Roman"/>
          <w:sz w:val="24"/>
          <w:szCs w:val="24"/>
        </w:rPr>
        <w:t>DBR.No.Ret.BC</w:t>
      </w:r>
      <w:proofErr w:type="gramEnd"/>
      <w:r w:rsidRPr="00C902C8">
        <w:rPr>
          <w:rFonts w:ascii="Times New Roman" w:hAnsi="Times New Roman" w:cs="Times New Roman"/>
          <w:sz w:val="24"/>
          <w:szCs w:val="24"/>
        </w:rPr>
        <w:t>.91</w:t>
      </w:r>
      <w:proofErr w:type="spellEnd"/>
      <w:r w:rsidRPr="00C902C8">
        <w:rPr>
          <w:rFonts w:ascii="Times New Roman" w:hAnsi="Times New Roman" w:cs="Times New Roman"/>
          <w:sz w:val="24"/>
          <w:szCs w:val="24"/>
        </w:rPr>
        <w:t>/12.01.001/2015-16 dated April 05, 2016 on the captioned subject.</w:t>
      </w:r>
    </w:p>
    <w:p w14:paraId="1B02506C" w14:textId="77777777" w:rsidR="005C5F02" w:rsidRPr="00C902C8" w:rsidRDefault="005C5F02" w:rsidP="005C5F02">
      <w:pPr>
        <w:spacing w:after="0" w:line="240" w:lineRule="auto"/>
        <w:jc w:val="both"/>
        <w:rPr>
          <w:rFonts w:ascii="Times New Roman" w:hAnsi="Times New Roman" w:cs="Times New Roman"/>
          <w:sz w:val="24"/>
          <w:szCs w:val="24"/>
        </w:rPr>
      </w:pPr>
    </w:p>
    <w:p w14:paraId="42D3F58F" w14:textId="77777777" w:rsidR="005C5F02" w:rsidRPr="00AE747B"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 xml:space="preserve">2. As announced in the Seventh Bi-monthly Monetary Policy Statement, 2019-20, March 27, 2020, it has been decided to reduce the minimum daily maintenance of the Cash Reserve Ratio from 90 per cent of the requirement to 80 per cent effective from the fortnight beginning March 28, 2020. </w:t>
      </w:r>
      <w:r w:rsidRPr="00AE747B">
        <w:rPr>
          <w:rFonts w:ascii="Times New Roman" w:hAnsi="Times New Roman" w:cs="Times New Roman"/>
          <w:sz w:val="24"/>
          <w:szCs w:val="24"/>
        </w:rPr>
        <w:t>This is a one-time dispensation available up to June 26, 2020.</w:t>
      </w:r>
    </w:p>
    <w:p w14:paraId="58803CE0" w14:textId="77777777" w:rsidR="005C5F02" w:rsidRPr="00C902C8" w:rsidRDefault="005C5F02" w:rsidP="005C5F02">
      <w:pPr>
        <w:pBdr>
          <w:bottom w:val="single" w:sz="12" w:space="1" w:color="auto"/>
        </w:pBdr>
        <w:spacing w:after="0" w:line="240" w:lineRule="auto"/>
        <w:jc w:val="both"/>
        <w:rPr>
          <w:rFonts w:ascii="Times New Roman" w:hAnsi="Times New Roman" w:cs="Times New Roman"/>
          <w:sz w:val="24"/>
          <w:szCs w:val="24"/>
        </w:rPr>
      </w:pPr>
    </w:p>
    <w:p w14:paraId="4AAC339E" w14:textId="77777777" w:rsidR="005C5F02" w:rsidRPr="00C902C8" w:rsidRDefault="005C5F02" w:rsidP="005C5F02">
      <w:pPr>
        <w:spacing w:after="0" w:line="240" w:lineRule="auto"/>
        <w:jc w:val="both"/>
        <w:rPr>
          <w:rFonts w:ascii="Times New Roman" w:hAnsi="Times New Roman" w:cs="Times New Roman"/>
          <w:sz w:val="24"/>
          <w:szCs w:val="24"/>
        </w:rPr>
      </w:pPr>
    </w:p>
    <w:p w14:paraId="4D5C21E3" w14:textId="77777777" w:rsidR="005C5F02" w:rsidRPr="00C902C8" w:rsidRDefault="005C5F02" w:rsidP="005C5F02">
      <w:pPr>
        <w:spacing w:after="0" w:line="240" w:lineRule="auto"/>
        <w:jc w:val="both"/>
        <w:rPr>
          <w:rFonts w:ascii="Times New Roman" w:hAnsi="Times New Roman" w:cs="Times New Roman"/>
          <w:sz w:val="24"/>
          <w:szCs w:val="24"/>
        </w:rPr>
      </w:pPr>
    </w:p>
    <w:p w14:paraId="628CEB69" w14:textId="77777777" w:rsidR="005C5F02"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Maintenance of Cash Reserve Ratio (</w:t>
      </w:r>
      <w:proofErr w:type="spellStart"/>
      <w:r w:rsidRPr="00C902C8">
        <w:rPr>
          <w:rFonts w:ascii="Times New Roman" w:hAnsi="Times New Roman" w:cs="Times New Roman"/>
          <w:b/>
          <w:bCs/>
          <w:sz w:val="24"/>
          <w:szCs w:val="24"/>
        </w:rPr>
        <w:t>CRR</w:t>
      </w:r>
      <w:proofErr w:type="spellEnd"/>
      <w:r w:rsidRPr="00C902C8">
        <w:rPr>
          <w:rFonts w:ascii="Times New Roman" w:hAnsi="Times New Roman" w:cs="Times New Roman"/>
          <w:b/>
          <w:bCs/>
          <w:sz w:val="24"/>
          <w:szCs w:val="24"/>
        </w:rPr>
        <w:t>)</w:t>
      </w:r>
    </w:p>
    <w:p w14:paraId="53301534" w14:textId="77777777" w:rsidR="005C5F02" w:rsidRPr="00C902C8" w:rsidRDefault="005C5F02" w:rsidP="005C5F02">
      <w:pPr>
        <w:spacing w:after="0" w:line="240" w:lineRule="auto"/>
        <w:jc w:val="both"/>
        <w:rPr>
          <w:rFonts w:ascii="Times New Roman" w:hAnsi="Times New Roman" w:cs="Times New Roman"/>
          <w:b/>
          <w:bCs/>
          <w:sz w:val="24"/>
          <w:szCs w:val="24"/>
        </w:rPr>
      </w:pPr>
    </w:p>
    <w:p w14:paraId="76AA419B"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RBI/2019-20/191 </w:t>
      </w:r>
      <w:proofErr w:type="spellStart"/>
      <w:proofErr w:type="gramStart"/>
      <w:r w:rsidRPr="00C902C8">
        <w:rPr>
          <w:rFonts w:ascii="Times New Roman" w:hAnsi="Times New Roman" w:cs="Times New Roman"/>
          <w:sz w:val="24"/>
          <w:szCs w:val="24"/>
        </w:rPr>
        <w:t>DOR.No.Ret.BC</w:t>
      </w:r>
      <w:proofErr w:type="gramEnd"/>
      <w:r w:rsidRPr="00C902C8">
        <w:rPr>
          <w:rFonts w:ascii="Times New Roman" w:hAnsi="Times New Roman" w:cs="Times New Roman"/>
          <w:sz w:val="24"/>
          <w:szCs w:val="24"/>
        </w:rPr>
        <w:t>.49</w:t>
      </w:r>
      <w:proofErr w:type="spellEnd"/>
      <w:r w:rsidRPr="00C902C8">
        <w:rPr>
          <w:rFonts w:ascii="Times New Roman" w:hAnsi="Times New Roman" w:cs="Times New Roman"/>
          <w:sz w:val="24"/>
          <w:szCs w:val="24"/>
        </w:rPr>
        <w:t xml:space="preserve">/12.01.001/2019-20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27, 2020</w:t>
      </w:r>
    </w:p>
    <w:p w14:paraId="7CA3CFB7" w14:textId="77777777" w:rsidR="005C5F02" w:rsidRPr="00C902C8" w:rsidRDefault="005C5F02" w:rsidP="005C5F02">
      <w:pPr>
        <w:spacing w:after="0" w:line="240" w:lineRule="auto"/>
        <w:jc w:val="both"/>
        <w:rPr>
          <w:rFonts w:ascii="Times New Roman" w:hAnsi="Times New Roman" w:cs="Times New Roman"/>
          <w:sz w:val="24"/>
          <w:szCs w:val="24"/>
        </w:rPr>
      </w:pPr>
    </w:p>
    <w:p w14:paraId="33649BCA"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Banks</w:t>
      </w:r>
    </w:p>
    <w:p w14:paraId="35B9550C" w14:textId="77777777" w:rsidR="005C5F02" w:rsidRPr="00C902C8" w:rsidRDefault="005C5F02" w:rsidP="005C5F02">
      <w:pPr>
        <w:spacing w:after="0" w:line="240" w:lineRule="auto"/>
        <w:jc w:val="both"/>
        <w:rPr>
          <w:rFonts w:ascii="Times New Roman" w:hAnsi="Times New Roman" w:cs="Times New Roman"/>
          <w:sz w:val="24"/>
          <w:szCs w:val="24"/>
        </w:rPr>
      </w:pPr>
    </w:p>
    <w:p w14:paraId="22007DD6"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our Circular </w:t>
      </w:r>
      <w:proofErr w:type="spellStart"/>
      <w:proofErr w:type="gramStart"/>
      <w:r w:rsidRPr="00C902C8">
        <w:rPr>
          <w:rFonts w:ascii="Times New Roman" w:hAnsi="Times New Roman" w:cs="Times New Roman"/>
          <w:sz w:val="24"/>
          <w:szCs w:val="24"/>
        </w:rPr>
        <w:t>DBOD.No.Ret.BC</w:t>
      </w:r>
      <w:proofErr w:type="gramEnd"/>
      <w:r w:rsidRPr="00C902C8">
        <w:rPr>
          <w:rFonts w:ascii="Times New Roman" w:hAnsi="Times New Roman" w:cs="Times New Roman"/>
          <w:sz w:val="24"/>
          <w:szCs w:val="24"/>
        </w:rPr>
        <w:t>.76</w:t>
      </w:r>
      <w:proofErr w:type="spellEnd"/>
      <w:r w:rsidRPr="00C902C8">
        <w:rPr>
          <w:rFonts w:ascii="Times New Roman" w:hAnsi="Times New Roman" w:cs="Times New Roman"/>
          <w:sz w:val="24"/>
          <w:szCs w:val="24"/>
        </w:rPr>
        <w:t xml:space="preserve">/12.01.001/2012-13 dated January 29, 2013 and Circular </w:t>
      </w:r>
      <w:proofErr w:type="spellStart"/>
      <w:r w:rsidRPr="00C902C8">
        <w:rPr>
          <w:rFonts w:ascii="Times New Roman" w:hAnsi="Times New Roman" w:cs="Times New Roman"/>
          <w:sz w:val="24"/>
          <w:szCs w:val="24"/>
        </w:rPr>
        <w:t>RPCD.CO.RCB.RRB.BC.No.61</w:t>
      </w:r>
      <w:proofErr w:type="spellEnd"/>
      <w:r w:rsidRPr="00C902C8">
        <w:rPr>
          <w:rFonts w:ascii="Times New Roman" w:hAnsi="Times New Roman" w:cs="Times New Roman"/>
          <w:sz w:val="24"/>
          <w:szCs w:val="24"/>
        </w:rPr>
        <w:t>/03.05.33/2012-13 dated January 29, 2013 on the captioned subject.</w:t>
      </w:r>
    </w:p>
    <w:p w14:paraId="07E8315E" w14:textId="77777777" w:rsidR="005C5F02" w:rsidRPr="00C902C8" w:rsidRDefault="005C5F02" w:rsidP="005C5F02">
      <w:pPr>
        <w:spacing w:after="0" w:line="240" w:lineRule="auto"/>
        <w:jc w:val="both"/>
        <w:rPr>
          <w:rFonts w:ascii="Times New Roman" w:hAnsi="Times New Roman" w:cs="Times New Roman"/>
          <w:sz w:val="24"/>
          <w:szCs w:val="24"/>
        </w:rPr>
      </w:pPr>
    </w:p>
    <w:p w14:paraId="71BAA695"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announced in the Seventh Bi-monthly Monetary Policy Statement, 2019-20, March 27, 2020, it has been decided to reduce the Cash Reserve Ratio (</w:t>
      </w:r>
      <w:proofErr w:type="spellStart"/>
      <w:r w:rsidRPr="00C902C8">
        <w:rPr>
          <w:rFonts w:ascii="Times New Roman" w:hAnsi="Times New Roman" w:cs="Times New Roman"/>
          <w:sz w:val="24"/>
          <w:szCs w:val="24"/>
        </w:rPr>
        <w:t>CRR</w:t>
      </w:r>
      <w:proofErr w:type="spellEnd"/>
      <w:r w:rsidRPr="00C902C8">
        <w:rPr>
          <w:rFonts w:ascii="Times New Roman" w:hAnsi="Times New Roman" w:cs="Times New Roman"/>
          <w:sz w:val="24"/>
          <w:szCs w:val="24"/>
        </w:rPr>
        <w:t>) of all banks by 100 basis points from 4.00 per cent to 3.00 per cent of their Net Demand and Time Liabilities (</w:t>
      </w:r>
      <w:proofErr w:type="spellStart"/>
      <w:r w:rsidRPr="00C902C8">
        <w:rPr>
          <w:rFonts w:ascii="Times New Roman" w:hAnsi="Times New Roman" w:cs="Times New Roman"/>
          <w:sz w:val="24"/>
          <w:szCs w:val="24"/>
        </w:rPr>
        <w:t>NDTL</w:t>
      </w:r>
      <w:proofErr w:type="spellEnd"/>
      <w:r w:rsidRPr="00C902C8">
        <w:rPr>
          <w:rFonts w:ascii="Times New Roman" w:hAnsi="Times New Roman" w:cs="Times New Roman"/>
          <w:sz w:val="24"/>
          <w:szCs w:val="24"/>
        </w:rPr>
        <w:t>) with effect from the reporting fortnight beginning March 28, 2020 for a period of one year, ending on March 26, 2021.</w:t>
      </w:r>
    </w:p>
    <w:p w14:paraId="20958E41" w14:textId="77777777" w:rsidR="005C5F02" w:rsidRPr="00C902C8" w:rsidRDefault="005C5F02" w:rsidP="005C5F02">
      <w:pPr>
        <w:spacing w:after="0" w:line="240" w:lineRule="auto"/>
        <w:jc w:val="both"/>
        <w:rPr>
          <w:rFonts w:ascii="Times New Roman" w:hAnsi="Times New Roman" w:cs="Times New Roman"/>
          <w:sz w:val="24"/>
          <w:szCs w:val="24"/>
        </w:rPr>
      </w:pPr>
    </w:p>
    <w:p w14:paraId="247F0B49"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A copy of the relative notification </w:t>
      </w:r>
      <w:proofErr w:type="spellStart"/>
      <w:proofErr w:type="gramStart"/>
      <w:r w:rsidRPr="00C902C8">
        <w:rPr>
          <w:rFonts w:ascii="Times New Roman" w:hAnsi="Times New Roman" w:cs="Times New Roman"/>
          <w:sz w:val="24"/>
          <w:szCs w:val="24"/>
        </w:rPr>
        <w:t>DOR.No.Ret.BC</w:t>
      </w:r>
      <w:proofErr w:type="gramEnd"/>
      <w:r w:rsidRPr="00C902C8">
        <w:rPr>
          <w:rFonts w:ascii="Times New Roman" w:hAnsi="Times New Roman" w:cs="Times New Roman"/>
          <w:sz w:val="24"/>
          <w:szCs w:val="24"/>
        </w:rPr>
        <w:t>.50</w:t>
      </w:r>
      <w:proofErr w:type="spellEnd"/>
      <w:r w:rsidRPr="00C902C8">
        <w:rPr>
          <w:rFonts w:ascii="Times New Roman" w:hAnsi="Times New Roman" w:cs="Times New Roman"/>
          <w:sz w:val="24"/>
          <w:szCs w:val="24"/>
        </w:rPr>
        <w:t>/12.01.001/2019-20 dated March 27, 2020 is enclosed.</w:t>
      </w:r>
    </w:p>
    <w:p w14:paraId="38E0C7C9" w14:textId="77777777" w:rsidR="005C5F02" w:rsidRPr="00C902C8" w:rsidRDefault="005C5F02" w:rsidP="005C5F02">
      <w:pPr>
        <w:pBdr>
          <w:bottom w:val="single" w:sz="12" w:space="1" w:color="auto"/>
        </w:pBdr>
        <w:spacing w:after="0" w:line="240" w:lineRule="auto"/>
        <w:jc w:val="both"/>
        <w:rPr>
          <w:rFonts w:ascii="Times New Roman" w:hAnsi="Times New Roman" w:cs="Times New Roman"/>
          <w:sz w:val="24"/>
          <w:szCs w:val="24"/>
        </w:rPr>
      </w:pPr>
    </w:p>
    <w:p w14:paraId="225D42D0" w14:textId="77777777" w:rsidR="005C5F02" w:rsidRPr="00C902C8" w:rsidRDefault="005C5F02" w:rsidP="005C5F02">
      <w:pPr>
        <w:spacing w:after="0" w:line="240" w:lineRule="auto"/>
        <w:jc w:val="both"/>
        <w:rPr>
          <w:rFonts w:ascii="Times New Roman" w:hAnsi="Times New Roman" w:cs="Times New Roman"/>
          <w:sz w:val="24"/>
          <w:szCs w:val="24"/>
        </w:rPr>
      </w:pPr>
    </w:p>
    <w:p w14:paraId="356C8018" w14:textId="77777777" w:rsidR="005C5F02" w:rsidRDefault="005C5F02" w:rsidP="005C5F02">
      <w:pPr>
        <w:spacing w:after="0" w:line="240" w:lineRule="auto"/>
        <w:jc w:val="both"/>
        <w:rPr>
          <w:rFonts w:ascii="Times New Roman" w:hAnsi="Times New Roman" w:cs="Times New Roman"/>
          <w:b/>
          <w:bCs/>
          <w:sz w:val="24"/>
          <w:szCs w:val="24"/>
        </w:rPr>
      </w:pPr>
    </w:p>
    <w:p w14:paraId="1E7AF40F" w14:textId="77777777" w:rsidR="005C5F02" w:rsidRDefault="005C5F02" w:rsidP="005C5F02">
      <w:pPr>
        <w:spacing w:after="0" w:line="240" w:lineRule="auto"/>
        <w:jc w:val="both"/>
        <w:rPr>
          <w:rFonts w:ascii="Times New Roman" w:hAnsi="Times New Roman" w:cs="Times New Roman"/>
          <w:b/>
          <w:bCs/>
          <w:sz w:val="24"/>
          <w:szCs w:val="24"/>
        </w:rPr>
      </w:pPr>
      <w:r w:rsidRPr="001C66A9">
        <w:rPr>
          <w:rFonts w:ascii="Times New Roman" w:hAnsi="Times New Roman" w:cs="Times New Roman"/>
          <w:b/>
          <w:bCs/>
          <w:sz w:val="24"/>
          <w:szCs w:val="24"/>
        </w:rPr>
        <w:t>Section 42(1) of the Reserve Bank of India Act, 1934 - Change in Minimum Daily Maintenance of the Cash Reserve Requirement</w:t>
      </w:r>
    </w:p>
    <w:p w14:paraId="6DF1A708" w14:textId="77777777" w:rsidR="005C5F02" w:rsidRPr="001C66A9" w:rsidRDefault="005C5F02" w:rsidP="005C5F02">
      <w:pPr>
        <w:spacing w:after="0" w:line="240" w:lineRule="auto"/>
        <w:jc w:val="both"/>
        <w:rPr>
          <w:rFonts w:ascii="Times New Roman" w:hAnsi="Times New Roman" w:cs="Times New Roman"/>
          <w:b/>
          <w:bCs/>
          <w:sz w:val="24"/>
          <w:szCs w:val="24"/>
        </w:rPr>
      </w:pPr>
    </w:p>
    <w:p w14:paraId="6AA1D7F6" w14:textId="77777777" w:rsidR="005C5F02" w:rsidRPr="001C66A9" w:rsidRDefault="005C5F02" w:rsidP="005C5F02">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 xml:space="preserve">RBI/2019-20/260 </w:t>
      </w:r>
      <w:proofErr w:type="spellStart"/>
      <w:proofErr w:type="gramStart"/>
      <w:r w:rsidRPr="001C66A9">
        <w:rPr>
          <w:rFonts w:ascii="Times New Roman" w:hAnsi="Times New Roman" w:cs="Times New Roman"/>
          <w:sz w:val="24"/>
          <w:szCs w:val="24"/>
        </w:rPr>
        <w:t>DOR.No.Ret.BC</w:t>
      </w:r>
      <w:proofErr w:type="gramEnd"/>
      <w:r w:rsidRPr="001C66A9">
        <w:rPr>
          <w:rFonts w:ascii="Times New Roman" w:hAnsi="Times New Roman" w:cs="Times New Roman"/>
          <w:sz w:val="24"/>
          <w:szCs w:val="24"/>
        </w:rPr>
        <w:t>.78</w:t>
      </w:r>
      <w:proofErr w:type="spellEnd"/>
      <w:r w:rsidRPr="001C66A9">
        <w:rPr>
          <w:rFonts w:ascii="Times New Roman" w:hAnsi="Times New Roman" w:cs="Times New Roman"/>
          <w:sz w:val="24"/>
          <w:szCs w:val="24"/>
        </w:rPr>
        <w:t xml:space="preserve">/12.01.001/2019-20 </w:t>
      </w:r>
      <w:r w:rsidRPr="001C66A9">
        <w:rPr>
          <w:rFonts w:ascii="Times New Roman" w:hAnsi="Times New Roman" w:cs="Times New Roman"/>
          <w:sz w:val="24"/>
          <w:szCs w:val="24"/>
        </w:rPr>
        <w:tab/>
      </w:r>
      <w:r w:rsidRPr="001C66A9">
        <w:rPr>
          <w:rFonts w:ascii="Times New Roman" w:hAnsi="Times New Roman" w:cs="Times New Roman"/>
          <w:sz w:val="24"/>
          <w:szCs w:val="24"/>
        </w:rPr>
        <w:tab/>
      </w:r>
      <w:r w:rsidRPr="001C66A9">
        <w:rPr>
          <w:rFonts w:ascii="Times New Roman" w:hAnsi="Times New Roman" w:cs="Times New Roman"/>
          <w:sz w:val="24"/>
          <w:szCs w:val="24"/>
        </w:rPr>
        <w:tab/>
        <w:t>June 26, 2020</w:t>
      </w:r>
    </w:p>
    <w:p w14:paraId="5DE6F486" w14:textId="77777777" w:rsidR="005C5F02" w:rsidRPr="001C66A9" w:rsidRDefault="005C5F02" w:rsidP="005C5F02">
      <w:pPr>
        <w:spacing w:after="0" w:line="240" w:lineRule="auto"/>
        <w:jc w:val="both"/>
        <w:rPr>
          <w:rFonts w:ascii="Times New Roman" w:hAnsi="Times New Roman" w:cs="Times New Roman"/>
          <w:b/>
          <w:bCs/>
          <w:sz w:val="24"/>
          <w:szCs w:val="24"/>
        </w:rPr>
      </w:pPr>
    </w:p>
    <w:p w14:paraId="003F91B3" w14:textId="77777777" w:rsidR="005C5F02" w:rsidRPr="001C66A9" w:rsidRDefault="005C5F02" w:rsidP="005C5F02">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All Scheduled Banks</w:t>
      </w:r>
    </w:p>
    <w:p w14:paraId="21C52B6A" w14:textId="77777777" w:rsidR="005C5F02" w:rsidRDefault="005C5F02" w:rsidP="005C5F02">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 xml:space="preserve">Please refer to our circular </w:t>
      </w:r>
      <w:proofErr w:type="spellStart"/>
      <w:proofErr w:type="gramStart"/>
      <w:r w:rsidRPr="001C66A9">
        <w:rPr>
          <w:rFonts w:ascii="Times New Roman" w:hAnsi="Times New Roman" w:cs="Times New Roman"/>
          <w:sz w:val="24"/>
          <w:szCs w:val="24"/>
        </w:rPr>
        <w:t>DOR.No.Ret.BC</w:t>
      </w:r>
      <w:proofErr w:type="gramEnd"/>
      <w:r w:rsidRPr="001C66A9">
        <w:rPr>
          <w:rFonts w:ascii="Times New Roman" w:hAnsi="Times New Roman" w:cs="Times New Roman"/>
          <w:sz w:val="24"/>
          <w:szCs w:val="24"/>
        </w:rPr>
        <w:t>.51</w:t>
      </w:r>
      <w:proofErr w:type="spellEnd"/>
      <w:r w:rsidRPr="001C66A9">
        <w:rPr>
          <w:rFonts w:ascii="Times New Roman" w:hAnsi="Times New Roman" w:cs="Times New Roman"/>
          <w:sz w:val="24"/>
          <w:szCs w:val="24"/>
        </w:rPr>
        <w:t>/12.01.001/2019-20 dated March 27, 2020 on the captioned subject.</w:t>
      </w:r>
    </w:p>
    <w:p w14:paraId="241F3B81" w14:textId="77777777" w:rsidR="005C5F02" w:rsidRPr="001C66A9" w:rsidRDefault="005C5F02" w:rsidP="005C5F02">
      <w:pPr>
        <w:spacing w:after="0" w:line="240" w:lineRule="auto"/>
        <w:jc w:val="both"/>
        <w:rPr>
          <w:rFonts w:ascii="Times New Roman" w:hAnsi="Times New Roman" w:cs="Times New Roman"/>
          <w:sz w:val="24"/>
          <w:szCs w:val="24"/>
        </w:rPr>
      </w:pPr>
    </w:p>
    <w:p w14:paraId="5D3A9C5A" w14:textId="77777777" w:rsidR="005C5F02" w:rsidRDefault="005C5F02" w:rsidP="005C5F02">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2. As announced in the Statement of Developmental and Regulatory Policies of March 27, 2020, the minimum daily maintenance of the Cash Reserve Ratio (</w:t>
      </w:r>
      <w:proofErr w:type="spellStart"/>
      <w:r w:rsidRPr="001C66A9">
        <w:rPr>
          <w:rFonts w:ascii="Times New Roman" w:hAnsi="Times New Roman" w:cs="Times New Roman"/>
          <w:sz w:val="24"/>
          <w:szCs w:val="24"/>
        </w:rPr>
        <w:t>CRR</w:t>
      </w:r>
      <w:proofErr w:type="spellEnd"/>
      <w:r w:rsidRPr="001C66A9">
        <w:rPr>
          <w:rFonts w:ascii="Times New Roman" w:hAnsi="Times New Roman" w:cs="Times New Roman"/>
          <w:sz w:val="24"/>
          <w:szCs w:val="24"/>
        </w:rPr>
        <w:t xml:space="preserve">) was reduced from 90 per cent of the prescribed </w:t>
      </w:r>
      <w:proofErr w:type="spellStart"/>
      <w:r w:rsidRPr="001C66A9">
        <w:rPr>
          <w:rFonts w:ascii="Times New Roman" w:hAnsi="Times New Roman" w:cs="Times New Roman"/>
          <w:sz w:val="24"/>
          <w:szCs w:val="24"/>
        </w:rPr>
        <w:t>CRR</w:t>
      </w:r>
      <w:proofErr w:type="spellEnd"/>
      <w:r w:rsidRPr="001C66A9">
        <w:rPr>
          <w:rFonts w:ascii="Times New Roman" w:hAnsi="Times New Roman" w:cs="Times New Roman"/>
          <w:sz w:val="24"/>
          <w:szCs w:val="24"/>
        </w:rPr>
        <w:t xml:space="preserve"> to 80 per cent effective the fortnight beginning March 28, 2020 till June 26, 2020.</w:t>
      </w:r>
    </w:p>
    <w:p w14:paraId="2C8D1664" w14:textId="77777777" w:rsidR="005C5F02" w:rsidRPr="001C66A9" w:rsidRDefault="005C5F02" w:rsidP="005C5F02">
      <w:pPr>
        <w:spacing w:after="0" w:line="240" w:lineRule="auto"/>
        <w:jc w:val="both"/>
        <w:rPr>
          <w:rFonts w:ascii="Times New Roman" w:hAnsi="Times New Roman" w:cs="Times New Roman"/>
          <w:sz w:val="24"/>
          <w:szCs w:val="24"/>
        </w:rPr>
      </w:pPr>
    </w:p>
    <w:p w14:paraId="3BA0D12C" w14:textId="77777777" w:rsidR="005C5F02" w:rsidRDefault="005C5F02" w:rsidP="005C5F02">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3. Keeping in view the continuing of hardships faced by banks in terms of social distancing of staff and consequent strains on reporting requirements, it has now been decided to extend the relaxation of the minimum daily maintenance of the Cash Reserve Ratio of 80 per cent for a further period of three months, i.e., up to September 25, 2020.</w:t>
      </w:r>
    </w:p>
    <w:p w14:paraId="23854C78" w14:textId="77777777" w:rsidR="005C5F02" w:rsidRDefault="005C5F02" w:rsidP="005C5F02">
      <w:pPr>
        <w:pBdr>
          <w:bottom w:val="single" w:sz="12" w:space="1" w:color="auto"/>
        </w:pBdr>
        <w:spacing w:after="0" w:line="240" w:lineRule="auto"/>
        <w:jc w:val="both"/>
        <w:rPr>
          <w:rFonts w:ascii="Times New Roman" w:hAnsi="Times New Roman" w:cs="Times New Roman"/>
          <w:sz w:val="24"/>
          <w:szCs w:val="24"/>
        </w:rPr>
      </w:pPr>
    </w:p>
    <w:p w14:paraId="4BD35602" w14:textId="77777777" w:rsidR="005C5F02" w:rsidRDefault="005C5F02" w:rsidP="005C5F02">
      <w:pPr>
        <w:spacing w:after="0" w:line="240" w:lineRule="auto"/>
        <w:jc w:val="both"/>
        <w:rPr>
          <w:rFonts w:ascii="Times New Roman" w:hAnsi="Times New Roman" w:cs="Times New Roman"/>
          <w:sz w:val="24"/>
          <w:szCs w:val="24"/>
        </w:rPr>
      </w:pPr>
    </w:p>
    <w:p w14:paraId="6E03AA44" w14:textId="77777777" w:rsidR="005C5F02" w:rsidRDefault="005C5F02" w:rsidP="005C5F02">
      <w:pPr>
        <w:spacing w:after="0" w:line="240" w:lineRule="auto"/>
        <w:jc w:val="both"/>
        <w:rPr>
          <w:rFonts w:ascii="Times New Roman" w:hAnsi="Times New Roman" w:cs="Times New Roman"/>
          <w:b/>
          <w:bCs/>
          <w:sz w:val="24"/>
          <w:szCs w:val="24"/>
        </w:rPr>
      </w:pPr>
    </w:p>
    <w:p w14:paraId="1DA7D516" w14:textId="77777777" w:rsidR="005C5F02" w:rsidRDefault="005C5F02" w:rsidP="005C5F02">
      <w:pPr>
        <w:spacing w:after="0" w:line="240" w:lineRule="auto"/>
        <w:jc w:val="both"/>
        <w:rPr>
          <w:rFonts w:ascii="Times New Roman" w:hAnsi="Times New Roman" w:cs="Times New Roman"/>
          <w:b/>
          <w:bCs/>
          <w:sz w:val="24"/>
          <w:szCs w:val="24"/>
        </w:rPr>
      </w:pPr>
      <w:r w:rsidRPr="001C66A9">
        <w:rPr>
          <w:rFonts w:ascii="Times New Roman" w:hAnsi="Times New Roman" w:cs="Times New Roman"/>
          <w:b/>
          <w:bCs/>
          <w:sz w:val="24"/>
          <w:szCs w:val="24"/>
        </w:rPr>
        <w:lastRenderedPageBreak/>
        <w:t>Section 24 of the Banking Regulation Act, 1949 – Maintenance of Statutory Liquidity Ratio (</w:t>
      </w:r>
      <w:proofErr w:type="spellStart"/>
      <w:r w:rsidRPr="001C66A9">
        <w:rPr>
          <w:rFonts w:ascii="Times New Roman" w:hAnsi="Times New Roman" w:cs="Times New Roman"/>
          <w:b/>
          <w:bCs/>
          <w:sz w:val="24"/>
          <w:szCs w:val="24"/>
        </w:rPr>
        <w:t>SLR</w:t>
      </w:r>
      <w:proofErr w:type="spellEnd"/>
      <w:r w:rsidRPr="001C66A9">
        <w:rPr>
          <w:rFonts w:ascii="Times New Roman" w:hAnsi="Times New Roman" w:cs="Times New Roman"/>
          <w:b/>
          <w:bCs/>
          <w:sz w:val="24"/>
          <w:szCs w:val="24"/>
        </w:rPr>
        <w:t>) – Marginal Standing Facility (MSF)</w:t>
      </w:r>
    </w:p>
    <w:p w14:paraId="4AA67380" w14:textId="77777777" w:rsidR="005C5F02" w:rsidRPr="001C66A9" w:rsidRDefault="005C5F02" w:rsidP="005C5F02">
      <w:pPr>
        <w:spacing w:after="0" w:line="240" w:lineRule="auto"/>
        <w:jc w:val="both"/>
        <w:rPr>
          <w:rFonts w:ascii="Times New Roman" w:hAnsi="Times New Roman" w:cs="Times New Roman"/>
          <w:b/>
          <w:bCs/>
          <w:sz w:val="24"/>
          <w:szCs w:val="24"/>
        </w:rPr>
      </w:pPr>
    </w:p>
    <w:p w14:paraId="6EA9CC6A" w14:textId="77777777" w:rsidR="005C5F02" w:rsidRPr="001C66A9" w:rsidRDefault="005C5F02" w:rsidP="005C5F02">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 xml:space="preserve">RBI/2019-20/259 </w:t>
      </w:r>
      <w:proofErr w:type="spellStart"/>
      <w:proofErr w:type="gramStart"/>
      <w:r w:rsidRPr="001C66A9">
        <w:rPr>
          <w:rFonts w:ascii="Times New Roman" w:hAnsi="Times New Roman" w:cs="Times New Roman"/>
          <w:sz w:val="24"/>
          <w:szCs w:val="24"/>
        </w:rPr>
        <w:t>DOR.No.Ret.BC</w:t>
      </w:r>
      <w:proofErr w:type="gramEnd"/>
      <w:r w:rsidRPr="001C66A9">
        <w:rPr>
          <w:rFonts w:ascii="Times New Roman" w:hAnsi="Times New Roman" w:cs="Times New Roman"/>
          <w:sz w:val="24"/>
          <w:szCs w:val="24"/>
        </w:rPr>
        <w:t>.77</w:t>
      </w:r>
      <w:proofErr w:type="spellEnd"/>
      <w:r w:rsidRPr="001C66A9">
        <w:rPr>
          <w:rFonts w:ascii="Times New Roman" w:hAnsi="Times New Roman" w:cs="Times New Roman"/>
          <w:sz w:val="24"/>
          <w:szCs w:val="24"/>
        </w:rPr>
        <w:t xml:space="preserve">/12.02.001/2019-20 </w:t>
      </w:r>
      <w:r w:rsidRPr="001C66A9">
        <w:rPr>
          <w:rFonts w:ascii="Times New Roman" w:hAnsi="Times New Roman" w:cs="Times New Roman"/>
          <w:sz w:val="24"/>
          <w:szCs w:val="24"/>
        </w:rPr>
        <w:tab/>
      </w:r>
      <w:r w:rsidRPr="001C66A9">
        <w:rPr>
          <w:rFonts w:ascii="Times New Roman" w:hAnsi="Times New Roman" w:cs="Times New Roman"/>
          <w:sz w:val="24"/>
          <w:szCs w:val="24"/>
        </w:rPr>
        <w:tab/>
      </w:r>
      <w:r w:rsidRPr="001C66A9">
        <w:rPr>
          <w:rFonts w:ascii="Times New Roman" w:hAnsi="Times New Roman" w:cs="Times New Roman"/>
          <w:sz w:val="24"/>
          <w:szCs w:val="24"/>
        </w:rPr>
        <w:tab/>
        <w:t>June 26, 2020</w:t>
      </w:r>
    </w:p>
    <w:p w14:paraId="0313F353" w14:textId="77777777" w:rsidR="005C5F02" w:rsidRPr="001C66A9" w:rsidRDefault="005C5F02" w:rsidP="005C5F02">
      <w:pPr>
        <w:spacing w:after="0" w:line="240" w:lineRule="auto"/>
        <w:jc w:val="both"/>
        <w:rPr>
          <w:rFonts w:ascii="Times New Roman" w:hAnsi="Times New Roman" w:cs="Times New Roman"/>
          <w:sz w:val="24"/>
          <w:szCs w:val="24"/>
        </w:rPr>
      </w:pPr>
    </w:p>
    <w:p w14:paraId="2F6A7186" w14:textId="77777777" w:rsidR="005C5F02" w:rsidRPr="001C66A9" w:rsidRDefault="005C5F02" w:rsidP="005C5F02">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All Scheduled Banks (excluding Regional Rural Banks)</w:t>
      </w:r>
    </w:p>
    <w:p w14:paraId="2191E844" w14:textId="77777777" w:rsidR="005C5F02" w:rsidRPr="001C66A9" w:rsidRDefault="005C5F02" w:rsidP="005C5F02">
      <w:pPr>
        <w:spacing w:after="0" w:line="240" w:lineRule="auto"/>
        <w:jc w:val="both"/>
        <w:rPr>
          <w:rFonts w:ascii="Times New Roman" w:hAnsi="Times New Roman" w:cs="Times New Roman"/>
          <w:sz w:val="24"/>
          <w:szCs w:val="24"/>
        </w:rPr>
      </w:pPr>
    </w:p>
    <w:p w14:paraId="7588473A" w14:textId="77777777" w:rsidR="005C5F02" w:rsidRPr="001C66A9" w:rsidRDefault="005C5F02" w:rsidP="005C5F02">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 xml:space="preserve">Please refer to our circular </w:t>
      </w:r>
      <w:proofErr w:type="spellStart"/>
      <w:proofErr w:type="gramStart"/>
      <w:r w:rsidRPr="001C66A9">
        <w:rPr>
          <w:rFonts w:ascii="Times New Roman" w:hAnsi="Times New Roman" w:cs="Times New Roman"/>
          <w:sz w:val="24"/>
          <w:szCs w:val="24"/>
        </w:rPr>
        <w:t>DOR.No.Ret.BC</w:t>
      </w:r>
      <w:proofErr w:type="gramEnd"/>
      <w:r w:rsidRPr="001C66A9">
        <w:rPr>
          <w:rFonts w:ascii="Times New Roman" w:hAnsi="Times New Roman" w:cs="Times New Roman"/>
          <w:sz w:val="24"/>
          <w:szCs w:val="24"/>
        </w:rPr>
        <w:t>.52</w:t>
      </w:r>
      <w:proofErr w:type="spellEnd"/>
      <w:r w:rsidRPr="001C66A9">
        <w:rPr>
          <w:rFonts w:ascii="Times New Roman" w:hAnsi="Times New Roman" w:cs="Times New Roman"/>
          <w:sz w:val="24"/>
          <w:szCs w:val="24"/>
        </w:rPr>
        <w:t>/12.01.001/2019-20 dated March 27, 2020 on Marginal Standing Facility (MSF) Scheme.</w:t>
      </w:r>
    </w:p>
    <w:p w14:paraId="082163B3" w14:textId="77777777" w:rsidR="005C5F02" w:rsidRPr="001C66A9" w:rsidRDefault="005C5F02" w:rsidP="005C5F02">
      <w:pPr>
        <w:spacing w:after="0" w:line="240" w:lineRule="auto"/>
        <w:jc w:val="both"/>
        <w:rPr>
          <w:rFonts w:ascii="Times New Roman" w:hAnsi="Times New Roman" w:cs="Times New Roman"/>
          <w:sz w:val="24"/>
          <w:szCs w:val="24"/>
        </w:rPr>
      </w:pPr>
    </w:p>
    <w:p w14:paraId="03FA8599" w14:textId="77777777" w:rsidR="005C5F02" w:rsidRPr="001C66A9" w:rsidRDefault="005C5F02" w:rsidP="005C5F02">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 xml:space="preserve">2. As announced in the Statement of Developmental and Regulatory Policies dated March 27, 2020, the borrowing limit of scheduled banks under the MSF scheme, by dipping into the prescribed </w:t>
      </w:r>
      <w:proofErr w:type="spellStart"/>
      <w:r w:rsidRPr="001C66A9">
        <w:rPr>
          <w:rFonts w:ascii="Times New Roman" w:hAnsi="Times New Roman" w:cs="Times New Roman"/>
          <w:sz w:val="24"/>
          <w:szCs w:val="24"/>
        </w:rPr>
        <w:t>SLR</w:t>
      </w:r>
      <w:proofErr w:type="spellEnd"/>
      <w:r w:rsidRPr="001C66A9">
        <w:rPr>
          <w:rFonts w:ascii="Times New Roman" w:hAnsi="Times New Roman" w:cs="Times New Roman"/>
          <w:sz w:val="24"/>
          <w:szCs w:val="24"/>
        </w:rPr>
        <w:t>, was increased from 2 per cent to 3 per cent of their Net Demand and Time Liabilities (</w:t>
      </w:r>
      <w:proofErr w:type="spellStart"/>
      <w:r w:rsidRPr="001C66A9">
        <w:rPr>
          <w:rFonts w:ascii="Times New Roman" w:hAnsi="Times New Roman" w:cs="Times New Roman"/>
          <w:sz w:val="24"/>
          <w:szCs w:val="24"/>
        </w:rPr>
        <w:t>NDTL</w:t>
      </w:r>
      <w:proofErr w:type="spellEnd"/>
      <w:r w:rsidRPr="001C66A9">
        <w:rPr>
          <w:rFonts w:ascii="Times New Roman" w:hAnsi="Times New Roman" w:cs="Times New Roman"/>
          <w:sz w:val="24"/>
          <w:szCs w:val="24"/>
        </w:rPr>
        <w:t>) outstanding at the end of the second preceding fortnight with immediate effect. This relaxation was available up to June 30, 2020.</w:t>
      </w:r>
    </w:p>
    <w:p w14:paraId="3CE40192" w14:textId="77777777" w:rsidR="005C5F02" w:rsidRPr="001C66A9" w:rsidRDefault="005C5F02" w:rsidP="005C5F02">
      <w:pPr>
        <w:spacing w:after="0" w:line="240" w:lineRule="auto"/>
        <w:jc w:val="both"/>
        <w:rPr>
          <w:rFonts w:ascii="Times New Roman" w:hAnsi="Times New Roman" w:cs="Times New Roman"/>
          <w:sz w:val="24"/>
          <w:szCs w:val="24"/>
        </w:rPr>
      </w:pPr>
    </w:p>
    <w:p w14:paraId="121D005B" w14:textId="77777777" w:rsidR="005C5F02" w:rsidRPr="001C66A9" w:rsidRDefault="005C5F02" w:rsidP="005C5F02">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3. On a review, it has now been decided to extend this enhanced limit till September 30, 2020.</w:t>
      </w:r>
    </w:p>
    <w:p w14:paraId="7DA34D04" w14:textId="77777777" w:rsidR="005C5F02" w:rsidRPr="001C66A9" w:rsidRDefault="005C5F02" w:rsidP="005C5F02">
      <w:pPr>
        <w:spacing w:after="0" w:line="240" w:lineRule="auto"/>
        <w:jc w:val="both"/>
        <w:rPr>
          <w:rFonts w:ascii="Times New Roman" w:hAnsi="Times New Roman" w:cs="Times New Roman"/>
          <w:sz w:val="24"/>
          <w:szCs w:val="24"/>
        </w:rPr>
      </w:pPr>
    </w:p>
    <w:p w14:paraId="7CCE87DD" w14:textId="77777777" w:rsidR="005C5F02" w:rsidRDefault="005C5F02" w:rsidP="005C5F02">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 xml:space="preserve">4. Banks may continue to access overnight funds under the MSF against their excess </w:t>
      </w:r>
      <w:proofErr w:type="spellStart"/>
      <w:r w:rsidRPr="001C66A9">
        <w:rPr>
          <w:rFonts w:ascii="Times New Roman" w:hAnsi="Times New Roman" w:cs="Times New Roman"/>
          <w:sz w:val="24"/>
          <w:szCs w:val="24"/>
        </w:rPr>
        <w:t>SLR</w:t>
      </w:r>
      <w:proofErr w:type="spellEnd"/>
      <w:r w:rsidRPr="001C66A9">
        <w:rPr>
          <w:rFonts w:ascii="Times New Roman" w:hAnsi="Times New Roman" w:cs="Times New Roman"/>
          <w:sz w:val="24"/>
          <w:szCs w:val="24"/>
        </w:rPr>
        <w:t xml:space="preserve"> holding as advised in our circular </w:t>
      </w:r>
      <w:proofErr w:type="spellStart"/>
      <w:r w:rsidRPr="001C66A9">
        <w:rPr>
          <w:rFonts w:ascii="Times New Roman" w:hAnsi="Times New Roman" w:cs="Times New Roman"/>
          <w:sz w:val="24"/>
          <w:szCs w:val="24"/>
        </w:rPr>
        <w:t>FMD.No.65</w:t>
      </w:r>
      <w:proofErr w:type="spellEnd"/>
      <w:r w:rsidRPr="001C66A9">
        <w:rPr>
          <w:rFonts w:ascii="Times New Roman" w:hAnsi="Times New Roman" w:cs="Times New Roman"/>
          <w:sz w:val="24"/>
          <w:szCs w:val="24"/>
        </w:rPr>
        <w:t>/01.18.001/11-12 dated December 21, 2011.</w:t>
      </w:r>
    </w:p>
    <w:p w14:paraId="1A3F1B67" w14:textId="77777777" w:rsidR="005C5F02" w:rsidRDefault="005C5F02" w:rsidP="005C5F02">
      <w:pPr>
        <w:pBdr>
          <w:bottom w:val="single" w:sz="12" w:space="1" w:color="auto"/>
        </w:pBdr>
        <w:spacing w:after="0" w:line="240" w:lineRule="auto"/>
        <w:jc w:val="both"/>
        <w:rPr>
          <w:rFonts w:ascii="Times New Roman" w:hAnsi="Times New Roman" w:cs="Times New Roman"/>
          <w:sz w:val="24"/>
          <w:szCs w:val="24"/>
        </w:rPr>
      </w:pPr>
    </w:p>
    <w:p w14:paraId="020B0A79" w14:textId="77777777" w:rsidR="005C5F02" w:rsidRDefault="005C5F02" w:rsidP="005C5F02">
      <w:pPr>
        <w:spacing w:after="0" w:line="240" w:lineRule="auto"/>
        <w:jc w:val="both"/>
        <w:rPr>
          <w:rFonts w:ascii="Times New Roman" w:hAnsi="Times New Roman" w:cs="Times New Roman"/>
          <w:sz w:val="24"/>
          <w:szCs w:val="24"/>
        </w:rPr>
      </w:pPr>
    </w:p>
    <w:p w14:paraId="1F106D68" w14:textId="77777777" w:rsidR="00AE747B" w:rsidRDefault="00AE747B" w:rsidP="005C5F02">
      <w:pPr>
        <w:spacing w:after="0" w:line="240" w:lineRule="auto"/>
        <w:jc w:val="both"/>
        <w:rPr>
          <w:rFonts w:ascii="Times New Roman" w:hAnsi="Times New Roman" w:cs="Times New Roman"/>
          <w:b/>
          <w:bCs/>
          <w:sz w:val="24"/>
          <w:szCs w:val="24"/>
        </w:rPr>
      </w:pPr>
    </w:p>
    <w:p w14:paraId="7359441E" w14:textId="1C630DAD"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Govt. of India</w:t>
      </w:r>
    </w:p>
    <w:p w14:paraId="4297191A" w14:textId="77777777" w:rsidR="005C5F02" w:rsidRPr="00C902C8" w:rsidRDefault="005C5F02" w:rsidP="005C5F02">
      <w:pPr>
        <w:spacing w:after="0" w:line="240" w:lineRule="auto"/>
        <w:jc w:val="both"/>
        <w:rPr>
          <w:rFonts w:ascii="Times New Roman" w:hAnsi="Times New Roman" w:cs="Times New Roman"/>
          <w:sz w:val="24"/>
          <w:szCs w:val="24"/>
        </w:rPr>
      </w:pPr>
    </w:p>
    <w:p w14:paraId="39AACAFE" w14:textId="77777777" w:rsidR="005C5F02" w:rsidRPr="00C902C8"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THE GAZETTE OF INDIA: EXTRAORDINARY [PART II—SEC. 3(ii)]</w:t>
      </w:r>
    </w:p>
    <w:p w14:paraId="683A563A" w14:textId="77777777" w:rsidR="005C5F02" w:rsidRPr="00C902C8"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MINISTRY OF MICRO, SMALL AND MEDIUM ENTERPRISES</w:t>
      </w:r>
    </w:p>
    <w:p w14:paraId="210AD4C0" w14:textId="77777777" w:rsidR="005C5F02" w:rsidRPr="00C902C8"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NOTIFICATION</w:t>
      </w:r>
    </w:p>
    <w:p w14:paraId="37908FE2" w14:textId="77777777" w:rsidR="005C5F02" w:rsidRPr="00C902C8" w:rsidRDefault="005C5F02" w:rsidP="005C5F02">
      <w:pPr>
        <w:spacing w:after="0" w:line="240" w:lineRule="auto"/>
        <w:ind w:left="6480" w:firstLine="720"/>
        <w:jc w:val="both"/>
        <w:rPr>
          <w:rFonts w:ascii="Times New Roman" w:hAnsi="Times New Roman" w:cs="Times New Roman"/>
          <w:sz w:val="24"/>
          <w:szCs w:val="24"/>
        </w:rPr>
      </w:pPr>
      <w:r w:rsidRPr="00C902C8">
        <w:rPr>
          <w:rFonts w:ascii="Times New Roman" w:hAnsi="Times New Roman" w:cs="Times New Roman"/>
          <w:sz w:val="24"/>
          <w:szCs w:val="24"/>
        </w:rPr>
        <w:t xml:space="preserve">1st </w:t>
      </w:r>
      <w:proofErr w:type="gramStart"/>
      <w:r w:rsidRPr="00C902C8">
        <w:rPr>
          <w:rFonts w:ascii="Times New Roman" w:hAnsi="Times New Roman" w:cs="Times New Roman"/>
          <w:sz w:val="24"/>
          <w:szCs w:val="24"/>
        </w:rPr>
        <w:t>June,</w:t>
      </w:r>
      <w:proofErr w:type="gramEnd"/>
      <w:r w:rsidRPr="00C902C8">
        <w:rPr>
          <w:rFonts w:ascii="Times New Roman" w:hAnsi="Times New Roman" w:cs="Times New Roman"/>
          <w:sz w:val="24"/>
          <w:szCs w:val="24"/>
        </w:rPr>
        <w:t xml:space="preserve"> 2020</w:t>
      </w:r>
    </w:p>
    <w:p w14:paraId="3FECAB8A" w14:textId="77777777" w:rsidR="005C5F02" w:rsidRPr="00C902C8" w:rsidRDefault="005C5F02" w:rsidP="005C5F02">
      <w:pPr>
        <w:spacing w:after="0" w:line="240" w:lineRule="auto"/>
        <w:ind w:left="6480" w:firstLine="720"/>
        <w:jc w:val="both"/>
        <w:rPr>
          <w:rFonts w:ascii="Times New Roman" w:hAnsi="Times New Roman" w:cs="Times New Roman"/>
          <w:sz w:val="24"/>
          <w:szCs w:val="24"/>
        </w:rPr>
      </w:pPr>
    </w:p>
    <w:p w14:paraId="757DB02F" w14:textId="77777777" w:rsidR="005C5F02" w:rsidRPr="00C902C8" w:rsidRDefault="005C5F02" w:rsidP="005C5F02">
      <w:p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b/>
          <w:bCs/>
          <w:sz w:val="24"/>
          <w:szCs w:val="24"/>
        </w:rPr>
        <w:t>S.O</w:t>
      </w:r>
      <w:proofErr w:type="spellEnd"/>
      <w:r w:rsidRPr="00C902C8">
        <w:rPr>
          <w:rFonts w:ascii="Times New Roman" w:hAnsi="Times New Roman" w:cs="Times New Roman"/>
          <w:b/>
          <w:bCs/>
          <w:sz w:val="24"/>
          <w:szCs w:val="24"/>
        </w:rPr>
        <w:t>. 1702(E).—</w:t>
      </w:r>
      <w:r w:rsidRPr="00C902C8">
        <w:rPr>
          <w:rFonts w:ascii="Times New Roman" w:hAnsi="Times New Roman" w:cs="Times New Roman"/>
          <w:sz w:val="24"/>
          <w:szCs w:val="24"/>
        </w:rPr>
        <w:t xml:space="preserve">In exercise of the powers conferred by sub-section (1) read with sub-section (9) of section 7 of the ‘Micro, Small and Medium Enterprises Development Act, 2006 (27 of 2006) and in supersession of the notification of the Government of India, Ministry of Small Scale Industries, dated the 29th September, 2006, published in the Gazette of India, Extraordinary, Part II, Section 3, Sub-section(ii), vide </w:t>
      </w:r>
      <w:proofErr w:type="spellStart"/>
      <w:r w:rsidRPr="00C902C8">
        <w:rPr>
          <w:rFonts w:ascii="Times New Roman" w:hAnsi="Times New Roman" w:cs="Times New Roman"/>
          <w:sz w:val="24"/>
          <w:szCs w:val="24"/>
        </w:rPr>
        <w:t>S.O</w:t>
      </w:r>
      <w:proofErr w:type="spellEnd"/>
      <w:r w:rsidRPr="00C902C8">
        <w:rPr>
          <w:rFonts w:ascii="Times New Roman" w:hAnsi="Times New Roman" w:cs="Times New Roman"/>
          <w:sz w:val="24"/>
          <w:szCs w:val="24"/>
        </w:rPr>
        <w:t>. 1642(E), dated the 30th September 2006 except as respects things done or omitted to be done before such supersession, the Central Government, hereby notifies the following criteria for classification of micro, small and medium enterprises, namely:—</w:t>
      </w:r>
    </w:p>
    <w:p w14:paraId="71DD0038" w14:textId="77777777" w:rsidR="005C5F02" w:rsidRPr="00C902C8" w:rsidRDefault="005C5F02" w:rsidP="005C5F02">
      <w:pPr>
        <w:spacing w:after="0" w:line="240" w:lineRule="auto"/>
        <w:jc w:val="both"/>
        <w:rPr>
          <w:rFonts w:ascii="Times New Roman" w:hAnsi="Times New Roman" w:cs="Times New Roman"/>
          <w:sz w:val="24"/>
          <w:szCs w:val="24"/>
        </w:rPr>
      </w:pPr>
    </w:p>
    <w:p w14:paraId="465E5C01" w14:textId="77777777" w:rsidR="005C5F02" w:rsidRPr="00C902C8" w:rsidRDefault="005C5F02" w:rsidP="005C5F02">
      <w:pPr>
        <w:pStyle w:val="ListParagraph"/>
        <w:numPr>
          <w:ilvl w:val="0"/>
          <w:numId w:val="9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 micro enterprise, where the investment in Plant and Machinery or Equipment does not exceed one crore rupees and turnover does not exceed five crore </w:t>
      </w:r>
      <w:proofErr w:type="gramStart"/>
      <w:r w:rsidRPr="00C902C8">
        <w:rPr>
          <w:rFonts w:ascii="Times New Roman" w:hAnsi="Times New Roman" w:cs="Times New Roman"/>
          <w:sz w:val="24"/>
          <w:szCs w:val="24"/>
        </w:rPr>
        <w:t>rupees;</w:t>
      </w:r>
      <w:proofErr w:type="gramEnd"/>
    </w:p>
    <w:p w14:paraId="2CFC6F5A" w14:textId="77777777" w:rsidR="005C5F02" w:rsidRPr="00C902C8" w:rsidRDefault="005C5F02" w:rsidP="005C5F02">
      <w:pPr>
        <w:pStyle w:val="ListParagraph"/>
        <w:numPr>
          <w:ilvl w:val="0"/>
          <w:numId w:val="9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 small enterprise, where the investment in Plant and Machinery or Equipment does not exceed ten crore rupees and turnover does not exceed fifty crore </w:t>
      </w:r>
      <w:proofErr w:type="gramStart"/>
      <w:r w:rsidRPr="00C902C8">
        <w:rPr>
          <w:rFonts w:ascii="Times New Roman" w:hAnsi="Times New Roman" w:cs="Times New Roman"/>
          <w:sz w:val="24"/>
          <w:szCs w:val="24"/>
        </w:rPr>
        <w:t>rupees;</w:t>
      </w:r>
      <w:proofErr w:type="gramEnd"/>
    </w:p>
    <w:p w14:paraId="6B489321" w14:textId="77777777" w:rsidR="005C5F02" w:rsidRPr="00C902C8" w:rsidRDefault="005C5F02" w:rsidP="005C5F02">
      <w:pPr>
        <w:pStyle w:val="ListParagraph"/>
        <w:numPr>
          <w:ilvl w:val="0"/>
          <w:numId w:val="9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medium enterprise, where the investment in Plant and Machinery or Equipment does not exceed fifty crore rupees and turnover does not exceed two hundred and fifty crore rupees.</w:t>
      </w:r>
    </w:p>
    <w:p w14:paraId="5A41451C" w14:textId="77777777" w:rsidR="005C5F02" w:rsidRPr="00C902C8" w:rsidRDefault="005C5F02" w:rsidP="005C5F02">
      <w:pPr>
        <w:spacing w:after="0" w:line="240" w:lineRule="auto"/>
        <w:jc w:val="both"/>
        <w:rPr>
          <w:rFonts w:ascii="Times New Roman" w:hAnsi="Times New Roman" w:cs="Times New Roman"/>
          <w:sz w:val="24"/>
          <w:szCs w:val="24"/>
        </w:rPr>
      </w:pPr>
    </w:p>
    <w:p w14:paraId="15052136"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This notification shall come into effect from 01.07.2020.</w:t>
      </w:r>
    </w:p>
    <w:p w14:paraId="00D7C686" w14:textId="77777777" w:rsidR="005C5F02" w:rsidRPr="00C902C8" w:rsidRDefault="005C5F02" w:rsidP="005C5F02">
      <w:pPr>
        <w:pBdr>
          <w:bottom w:val="single" w:sz="12" w:space="1" w:color="auto"/>
        </w:pBdr>
        <w:spacing w:after="0" w:line="240" w:lineRule="auto"/>
        <w:jc w:val="both"/>
        <w:rPr>
          <w:rFonts w:ascii="Times New Roman" w:hAnsi="Times New Roman" w:cs="Times New Roman"/>
          <w:sz w:val="24"/>
          <w:szCs w:val="24"/>
        </w:rPr>
      </w:pPr>
    </w:p>
    <w:p w14:paraId="70E7B51B" w14:textId="77777777" w:rsidR="005C5F02" w:rsidRPr="00C902C8" w:rsidRDefault="005C5F02" w:rsidP="005C5F02">
      <w:pPr>
        <w:spacing w:after="0" w:line="240" w:lineRule="auto"/>
        <w:jc w:val="both"/>
        <w:rPr>
          <w:rFonts w:ascii="Times New Roman" w:hAnsi="Times New Roman" w:cs="Times New Roman"/>
          <w:sz w:val="24"/>
          <w:szCs w:val="24"/>
        </w:rPr>
      </w:pPr>
    </w:p>
    <w:p w14:paraId="1FCAAF45" w14:textId="77777777" w:rsidR="005C5F02" w:rsidRDefault="005C5F02" w:rsidP="005C5F02">
      <w:pPr>
        <w:spacing w:after="0" w:line="240" w:lineRule="auto"/>
        <w:jc w:val="both"/>
        <w:rPr>
          <w:rFonts w:ascii="Times New Roman" w:hAnsi="Times New Roman" w:cs="Times New Roman"/>
          <w:b/>
          <w:bCs/>
          <w:sz w:val="24"/>
          <w:szCs w:val="24"/>
        </w:rPr>
      </w:pPr>
    </w:p>
    <w:p w14:paraId="041BB005" w14:textId="6E391AEC" w:rsidR="005C5F02" w:rsidRPr="00C902C8"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Rs 3 lakh crores Collateral-free Automatic Loans for Businesses, including MSMEs</w:t>
      </w:r>
    </w:p>
    <w:p w14:paraId="353C5B5A" w14:textId="77777777" w:rsidR="005C5F02" w:rsidRPr="00C902C8" w:rsidRDefault="005C5F02" w:rsidP="005C5F02">
      <w:pPr>
        <w:pStyle w:val="ListParagraph"/>
        <w:numPr>
          <w:ilvl w:val="0"/>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Businesses/MSMEs have been badly hit due to </w:t>
      </w:r>
      <w:proofErr w:type="spellStart"/>
      <w:r w:rsidRPr="00C902C8">
        <w:rPr>
          <w:rFonts w:ascii="Times New Roman" w:hAnsi="Times New Roman" w:cs="Times New Roman"/>
          <w:sz w:val="24"/>
          <w:szCs w:val="24"/>
        </w:rPr>
        <w:t>COVID19</w:t>
      </w:r>
      <w:proofErr w:type="spellEnd"/>
      <w:r w:rsidRPr="00C902C8">
        <w:rPr>
          <w:rFonts w:ascii="Times New Roman" w:hAnsi="Times New Roman" w:cs="Times New Roman"/>
          <w:sz w:val="24"/>
          <w:szCs w:val="24"/>
        </w:rPr>
        <w:t xml:space="preserve"> need additional funding to meet operational liabilities built up, buy raw material and restart business</w:t>
      </w:r>
    </w:p>
    <w:p w14:paraId="678953A0" w14:textId="77777777" w:rsidR="005C5F02" w:rsidRPr="00C902C8" w:rsidRDefault="005C5F02" w:rsidP="005C5F02">
      <w:pPr>
        <w:pStyle w:val="ListParagraph"/>
        <w:numPr>
          <w:ilvl w:val="0"/>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Decision: Emergency Credit Line to Businesses/MSMEs from Banks and </w:t>
      </w:r>
      <w:proofErr w:type="spellStart"/>
      <w:r w:rsidRPr="00C902C8">
        <w:rPr>
          <w:rFonts w:ascii="Times New Roman" w:hAnsi="Times New Roman" w:cs="Times New Roman"/>
          <w:sz w:val="24"/>
          <w:szCs w:val="24"/>
        </w:rPr>
        <w:t>NBFCs</w:t>
      </w:r>
      <w:proofErr w:type="spellEnd"/>
      <w:r w:rsidRPr="00C902C8">
        <w:rPr>
          <w:rFonts w:ascii="Times New Roman" w:hAnsi="Times New Roman" w:cs="Times New Roman"/>
          <w:sz w:val="24"/>
          <w:szCs w:val="24"/>
        </w:rPr>
        <w:t xml:space="preserve"> up to 20% of entire outstanding credit as on 29.2.2020</w:t>
      </w:r>
    </w:p>
    <w:p w14:paraId="1A5A095A" w14:textId="77777777" w:rsidR="005C5F02" w:rsidRPr="00C902C8" w:rsidRDefault="005C5F02" w:rsidP="005C5F02">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Borrowers with up to Rs. 25 </w:t>
      </w:r>
      <w:proofErr w:type="gramStart"/>
      <w:r w:rsidRPr="00C902C8">
        <w:rPr>
          <w:rFonts w:ascii="Times New Roman" w:hAnsi="Times New Roman" w:cs="Times New Roman"/>
          <w:sz w:val="24"/>
          <w:szCs w:val="24"/>
        </w:rPr>
        <w:t>crore</w:t>
      </w:r>
      <w:proofErr w:type="gramEnd"/>
      <w:r w:rsidRPr="00C902C8">
        <w:rPr>
          <w:rFonts w:ascii="Times New Roman" w:hAnsi="Times New Roman" w:cs="Times New Roman"/>
          <w:sz w:val="24"/>
          <w:szCs w:val="24"/>
        </w:rPr>
        <w:t xml:space="preserve"> outstanding and Rs. 100 </w:t>
      </w:r>
      <w:proofErr w:type="gramStart"/>
      <w:r w:rsidRPr="00C902C8">
        <w:rPr>
          <w:rFonts w:ascii="Times New Roman" w:hAnsi="Times New Roman" w:cs="Times New Roman"/>
          <w:sz w:val="24"/>
          <w:szCs w:val="24"/>
        </w:rPr>
        <w:t>crore</w:t>
      </w:r>
      <w:proofErr w:type="gramEnd"/>
      <w:r w:rsidRPr="00C902C8">
        <w:rPr>
          <w:rFonts w:ascii="Times New Roman" w:hAnsi="Times New Roman" w:cs="Times New Roman"/>
          <w:sz w:val="24"/>
          <w:szCs w:val="24"/>
        </w:rPr>
        <w:t xml:space="preserve"> turnover eligible</w:t>
      </w:r>
    </w:p>
    <w:p w14:paraId="0B258E93" w14:textId="77777777" w:rsidR="005C5F02" w:rsidRPr="00C902C8" w:rsidRDefault="005C5F02" w:rsidP="005C5F02">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Loans to have 4-year tenor with moratorium of 12 months on Principal repayment</w:t>
      </w:r>
    </w:p>
    <w:p w14:paraId="3ADB5ED1" w14:textId="77777777" w:rsidR="005C5F02" w:rsidRPr="00C902C8" w:rsidRDefault="005C5F02" w:rsidP="005C5F02">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Interest to be capped</w:t>
      </w:r>
    </w:p>
    <w:p w14:paraId="0CD1415C" w14:textId="77777777" w:rsidR="005C5F02" w:rsidRPr="00C902C8" w:rsidRDefault="005C5F02" w:rsidP="005C5F02">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100% credit guarantee cover to Banks and </w:t>
      </w:r>
      <w:proofErr w:type="spellStart"/>
      <w:r w:rsidRPr="00C902C8">
        <w:rPr>
          <w:rFonts w:ascii="Times New Roman" w:hAnsi="Times New Roman" w:cs="Times New Roman"/>
          <w:sz w:val="24"/>
          <w:szCs w:val="24"/>
        </w:rPr>
        <w:t>NBFCs</w:t>
      </w:r>
      <w:proofErr w:type="spellEnd"/>
      <w:r w:rsidRPr="00C902C8">
        <w:rPr>
          <w:rFonts w:ascii="Times New Roman" w:hAnsi="Times New Roman" w:cs="Times New Roman"/>
          <w:sz w:val="24"/>
          <w:szCs w:val="24"/>
        </w:rPr>
        <w:t xml:space="preserve"> on principal and interest</w:t>
      </w:r>
    </w:p>
    <w:p w14:paraId="52C51A32" w14:textId="77777777" w:rsidR="005C5F02" w:rsidRPr="00C902C8" w:rsidRDefault="005C5F02" w:rsidP="005C5F02">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Scheme can be availed till 31st Oct 2020</w:t>
      </w:r>
    </w:p>
    <w:p w14:paraId="6E8ADDB5" w14:textId="77777777" w:rsidR="005C5F02" w:rsidRPr="00C902C8" w:rsidRDefault="005C5F02" w:rsidP="005C5F02">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 guarantee fee, no fresh collateral</w:t>
      </w:r>
    </w:p>
    <w:p w14:paraId="60685805" w14:textId="77777777" w:rsidR="005C5F02" w:rsidRPr="00C902C8" w:rsidRDefault="005C5F02" w:rsidP="005C5F02">
      <w:pPr>
        <w:pStyle w:val="ListParagraph"/>
        <w:numPr>
          <w:ilvl w:val="0"/>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45 lakh units can resume business activity and safeguard jobs.</w:t>
      </w:r>
    </w:p>
    <w:p w14:paraId="1E05ADFB" w14:textId="77777777" w:rsidR="005C5F02" w:rsidRDefault="005C5F02" w:rsidP="005C5F02">
      <w:pPr>
        <w:spacing w:after="0" w:line="240" w:lineRule="auto"/>
        <w:jc w:val="both"/>
        <w:rPr>
          <w:rFonts w:ascii="Times New Roman" w:hAnsi="Times New Roman" w:cs="Times New Roman"/>
          <w:b/>
          <w:bCs/>
          <w:sz w:val="24"/>
          <w:szCs w:val="24"/>
        </w:rPr>
      </w:pPr>
    </w:p>
    <w:p w14:paraId="5AF03AD1" w14:textId="77777777" w:rsidR="005C5F02" w:rsidRPr="00C902C8"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Rs 20,000 crores Subordinate Debt for Stressed MSMEs</w:t>
      </w:r>
    </w:p>
    <w:p w14:paraId="4D0D4C73" w14:textId="77777777" w:rsidR="005C5F02" w:rsidRPr="00C902C8" w:rsidRDefault="005C5F02" w:rsidP="005C5F02">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Stressed MSMEs need equity support</w:t>
      </w:r>
    </w:p>
    <w:p w14:paraId="123AC088" w14:textId="77777777" w:rsidR="005C5F02" w:rsidRPr="00C902C8" w:rsidRDefault="005C5F02" w:rsidP="005C5F02">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GoI will facilitate provision of Rs. 20,000 </w:t>
      </w:r>
      <w:proofErr w:type="spellStart"/>
      <w:r w:rsidRPr="00C902C8">
        <w:rPr>
          <w:rFonts w:ascii="Times New Roman" w:hAnsi="Times New Roman" w:cs="Times New Roman"/>
          <w:sz w:val="24"/>
          <w:szCs w:val="24"/>
        </w:rPr>
        <w:t>cr</w:t>
      </w:r>
      <w:proofErr w:type="spellEnd"/>
      <w:r w:rsidRPr="00C902C8">
        <w:rPr>
          <w:rFonts w:ascii="Times New Roman" w:hAnsi="Times New Roman" w:cs="Times New Roman"/>
          <w:sz w:val="24"/>
          <w:szCs w:val="24"/>
        </w:rPr>
        <w:t xml:space="preserve"> as subordinate debt</w:t>
      </w:r>
    </w:p>
    <w:p w14:paraId="72F8D255" w14:textId="77777777" w:rsidR="005C5F02" w:rsidRPr="00C902C8" w:rsidRDefault="005C5F02" w:rsidP="005C5F02">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Two lakh MSMEs are likely to benefit</w:t>
      </w:r>
    </w:p>
    <w:p w14:paraId="4EA9F82B" w14:textId="77777777" w:rsidR="005C5F02" w:rsidRPr="00C902C8" w:rsidRDefault="005C5F02" w:rsidP="005C5F02">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Functioning MSMEs which are </w:t>
      </w:r>
      <w:proofErr w:type="spellStart"/>
      <w:r w:rsidRPr="00C902C8">
        <w:rPr>
          <w:rFonts w:ascii="Times New Roman" w:hAnsi="Times New Roman" w:cs="Times New Roman"/>
          <w:sz w:val="24"/>
          <w:szCs w:val="24"/>
        </w:rPr>
        <w:t>NPA</w:t>
      </w:r>
      <w:proofErr w:type="spellEnd"/>
      <w:r w:rsidRPr="00C902C8">
        <w:rPr>
          <w:rFonts w:ascii="Times New Roman" w:hAnsi="Times New Roman" w:cs="Times New Roman"/>
          <w:sz w:val="24"/>
          <w:szCs w:val="24"/>
        </w:rPr>
        <w:t xml:space="preserve"> or are stressed will be eligible</w:t>
      </w:r>
    </w:p>
    <w:p w14:paraId="69A27C09" w14:textId="77777777" w:rsidR="005C5F02" w:rsidRPr="00C902C8" w:rsidRDefault="005C5F02" w:rsidP="005C5F02">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Govt. will provide a support of Rs. 4,000 Cr. to </w:t>
      </w:r>
      <w:proofErr w:type="spellStart"/>
      <w:r w:rsidRPr="00C902C8">
        <w:rPr>
          <w:rFonts w:ascii="Times New Roman" w:hAnsi="Times New Roman" w:cs="Times New Roman"/>
          <w:sz w:val="24"/>
          <w:szCs w:val="24"/>
        </w:rPr>
        <w:t>CGTMSE</w:t>
      </w:r>
      <w:proofErr w:type="spellEnd"/>
    </w:p>
    <w:p w14:paraId="197D4D1F" w14:textId="77777777" w:rsidR="005C5F02" w:rsidRPr="00C902C8" w:rsidRDefault="005C5F02" w:rsidP="005C5F02">
      <w:pPr>
        <w:pStyle w:val="ListParagraph"/>
        <w:numPr>
          <w:ilvl w:val="0"/>
          <w:numId w:val="105"/>
        </w:num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CGTMSE</w:t>
      </w:r>
      <w:proofErr w:type="spellEnd"/>
      <w:r w:rsidRPr="00C902C8">
        <w:rPr>
          <w:rFonts w:ascii="Times New Roman" w:hAnsi="Times New Roman" w:cs="Times New Roman"/>
          <w:sz w:val="24"/>
          <w:szCs w:val="24"/>
        </w:rPr>
        <w:t xml:space="preserve"> will provide partial Credit Guarantee support to Banks</w:t>
      </w:r>
    </w:p>
    <w:p w14:paraId="77046EA8" w14:textId="77777777" w:rsidR="005C5F02" w:rsidRPr="00C902C8" w:rsidRDefault="005C5F02" w:rsidP="005C5F02">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Promoters of the MSME will be given debt by banks, which will then be infused by promoter as equity in the Unit.</w:t>
      </w:r>
    </w:p>
    <w:p w14:paraId="00161F6B" w14:textId="77777777" w:rsidR="005C5F02" w:rsidRDefault="005C5F02" w:rsidP="005C5F02">
      <w:pPr>
        <w:spacing w:after="0" w:line="240" w:lineRule="auto"/>
        <w:jc w:val="both"/>
        <w:rPr>
          <w:rFonts w:ascii="Times New Roman" w:hAnsi="Times New Roman" w:cs="Times New Roman"/>
          <w:b/>
          <w:bCs/>
          <w:sz w:val="24"/>
          <w:szCs w:val="24"/>
        </w:rPr>
      </w:pPr>
    </w:p>
    <w:p w14:paraId="6BBFED10" w14:textId="77777777" w:rsidR="005C5F02" w:rsidRPr="00C902C8"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Rs 50,000 cr. Equity infusion for MSMEs through Fund of Funds</w:t>
      </w:r>
    </w:p>
    <w:p w14:paraId="3CF66A90" w14:textId="77777777" w:rsidR="005C5F02" w:rsidRPr="00C902C8" w:rsidRDefault="005C5F02" w:rsidP="005C5F02">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MSMEs face severe shortage of Equity.</w:t>
      </w:r>
    </w:p>
    <w:p w14:paraId="5462DF38" w14:textId="77777777" w:rsidR="005C5F02" w:rsidRPr="00C902C8" w:rsidRDefault="005C5F02" w:rsidP="005C5F02">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Fund of Funds with Corpus of Rs 10,000 crores will be set up.</w:t>
      </w:r>
    </w:p>
    <w:p w14:paraId="701A3711" w14:textId="77777777" w:rsidR="005C5F02" w:rsidRPr="00C902C8" w:rsidRDefault="005C5F02" w:rsidP="005C5F02">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Will provide equity funding for MSMEs with growth potential and viability.</w:t>
      </w:r>
    </w:p>
    <w:p w14:paraId="38BF6B35" w14:textId="77777777" w:rsidR="005C5F02" w:rsidRPr="00C902C8" w:rsidRDefault="005C5F02" w:rsidP="005C5F02">
      <w:pPr>
        <w:pStyle w:val="ListParagraph"/>
        <w:numPr>
          <w:ilvl w:val="0"/>
          <w:numId w:val="106"/>
        </w:num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FoF</w:t>
      </w:r>
      <w:proofErr w:type="spellEnd"/>
      <w:r w:rsidRPr="00C902C8">
        <w:rPr>
          <w:rFonts w:ascii="Times New Roman" w:hAnsi="Times New Roman" w:cs="Times New Roman"/>
          <w:sz w:val="24"/>
          <w:szCs w:val="24"/>
        </w:rPr>
        <w:t xml:space="preserve"> will be operated through a Mother Fund and few daughter funds</w:t>
      </w:r>
    </w:p>
    <w:p w14:paraId="2280969D" w14:textId="77777777" w:rsidR="005C5F02" w:rsidRPr="00C902C8" w:rsidRDefault="005C5F02" w:rsidP="005C5F02">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Fund structure will help leverage Rs 50,000 </w:t>
      </w:r>
      <w:proofErr w:type="spellStart"/>
      <w:r w:rsidRPr="00C902C8">
        <w:rPr>
          <w:rFonts w:ascii="Times New Roman" w:hAnsi="Times New Roman" w:cs="Times New Roman"/>
          <w:sz w:val="24"/>
          <w:szCs w:val="24"/>
        </w:rPr>
        <w:t>cr</w:t>
      </w:r>
      <w:proofErr w:type="spellEnd"/>
      <w:r w:rsidRPr="00C902C8">
        <w:rPr>
          <w:rFonts w:ascii="Times New Roman" w:hAnsi="Times New Roman" w:cs="Times New Roman"/>
          <w:sz w:val="24"/>
          <w:szCs w:val="24"/>
        </w:rPr>
        <w:t xml:space="preserve"> of funds at daughter funds level</w:t>
      </w:r>
    </w:p>
    <w:p w14:paraId="3A1ECE04" w14:textId="77777777" w:rsidR="005C5F02" w:rsidRPr="00C902C8" w:rsidRDefault="005C5F02" w:rsidP="005C5F02">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Will help to expand MSME size as well as capacity.</w:t>
      </w:r>
    </w:p>
    <w:p w14:paraId="4AD24625" w14:textId="77777777" w:rsidR="005C5F02" w:rsidRPr="00C902C8" w:rsidRDefault="005C5F02" w:rsidP="005C5F02">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Will encourage MSMEs to get listed on main board of Stock Exchanges. </w:t>
      </w:r>
    </w:p>
    <w:p w14:paraId="7FD9D959" w14:textId="77777777" w:rsidR="005C5F02" w:rsidRPr="00C902C8" w:rsidRDefault="005C5F02" w:rsidP="005C5F02">
      <w:pPr>
        <w:pStyle w:val="ListParagraph"/>
        <w:spacing w:after="0" w:line="240" w:lineRule="auto"/>
        <w:jc w:val="both"/>
        <w:rPr>
          <w:rFonts w:ascii="Times New Roman" w:hAnsi="Times New Roman" w:cs="Times New Roman"/>
          <w:sz w:val="24"/>
          <w:szCs w:val="24"/>
        </w:rPr>
      </w:pPr>
    </w:p>
    <w:p w14:paraId="6374185A" w14:textId="77777777" w:rsidR="005C5F02" w:rsidRPr="00C902C8"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New Definition of MSMEs</w:t>
      </w:r>
    </w:p>
    <w:p w14:paraId="77D7199F" w14:textId="77777777" w:rsidR="005C5F02" w:rsidRPr="00C902C8" w:rsidRDefault="005C5F02" w:rsidP="005C5F02">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Low threshold in MSME definition have created a fear among MSMEs of graduating out of the benefits and hence killing the urge to grow.</w:t>
      </w:r>
    </w:p>
    <w:p w14:paraId="11FEDC4E" w14:textId="77777777" w:rsidR="005C5F02" w:rsidRPr="00C902C8" w:rsidRDefault="005C5F02" w:rsidP="005C5F02">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There has been a long-pending demand for revisions.</w:t>
      </w:r>
    </w:p>
    <w:p w14:paraId="79565368" w14:textId="77777777" w:rsidR="005C5F02" w:rsidRDefault="005C5F02" w:rsidP="005C5F02">
      <w:pPr>
        <w:spacing w:after="0" w:line="240" w:lineRule="auto"/>
        <w:jc w:val="both"/>
        <w:rPr>
          <w:rFonts w:ascii="Times New Roman" w:hAnsi="Times New Roman" w:cs="Times New Roman"/>
          <w:b/>
          <w:bCs/>
          <w:sz w:val="24"/>
          <w:szCs w:val="24"/>
        </w:rPr>
      </w:pPr>
    </w:p>
    <w:p w14:paraId="7FCAAA06" w14:textId="77777777" w:rsidR="005C5F02" w:rsidRPr="00C902C8"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Announcement:</w:t>
      </w:r>
    </w:p>
    <w:p w14:paraId="1CE9A217" w14:textId="77777777" w:rsidR="005C5F02" w:rsidRDefault="005C5F02" w:rsidP="005C5F02">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Definition of MSMEs will be revised </w:t>
      </w:r>
    </w:p>
    <w:p w14:paraId="49FC1436" w14:textId="77777777" w:rsidR="005C5F02" w:rsidRPr="00C902C8" w:rsidRDefault="005C5F02" w:rsidP="005C5F02">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Investment limit </w:t>
      </w:r>
      <w:r w:rsidRPr="00C902C8">
        <w:rPr>
          <w:rFonts w:ascii="Times New Roman" w:hAnsi="Times New Roman" w:cs="Times New Roman"/>
          <w:sz w:val="24"/>
          <w:szCs w:val="24"/>
        </w:rPr>
        <w:t>will be revised upwards</w:t>
      </w:r>
    </w:p>
    <w:p w14:paraId="66A03CDF" w14:textId="77777777" w:rsidR="005C5F02" w:rsidRPr="00C902C8" w:rsidRDefault="005C5F02" w:rsidP="005C5F02">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Additional criteria of turnover also being introduced.</w:t>
      </w:r>
    </w:p>
    <w:p w14:paraId="2C4C2E60" w14:textId="77777777" w:rsidR="005C5F02" w:rsidRPr="00C902C8" w:rsidRDefault="005C5F02" w:rsidP="005C5F02">
      <w:pPr>
        <w:pStyle w:val="ListParagraph"/>
        <w:numPr>
          <w:ilvl w:val="0"/>
          <w:numId w:val="10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Distinction between manufacturing and service sector to be eliminated.</w:t>
      </w:r>
    </w:p>
    <w:p w14:paraId="019BD9EB" w14:textId="77777777" w:rsidR="005C5F02" w:rsidRPr="00C902C8" w:rsidRDefault="005C5F02" w:rsidP="005C5F02">
      <w:pPr>
        <w:pStyle w:val="ListParagraph"/>
        <w:numPr>
          <w:ilvl w:val="0"/>
          <w:numId w:val="10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Necessary amendments to law will be brought about.</w:t>
      </w:r>
    </w:p>
    <w:p w14:paraId="5303B2F5" w14:textId="77777777" w:rsidR="005C5F02" w:rsidRDefault="005C5F02" w:rsidP="005C5F02">
      <w:pPr>
        <w:spacing w:after="0" w:line="240" w:lineRule="auto"/>
        <w:jc w:val="both"/>
        <w:rPr>
          <w:rFonts w:ascii="Times New Roman" w:hAnsi="Times New Roman" w:cs="Times New Roman"/>
          <w:b/>
          <w:bCs/>
          <w:sz w:val="24"/>
          <w:szCs w:val="24"/>
        </w:rPr>
      </w:pPr>
    </w:p>
    <w:p w14:paraId="0BBC87DB" w14:textId="77777777" w:rsidR="005C5F02" w:rsidRDefault="005C5F02" w:rsidP="005C5F02">
      <w:pPr>
        <w:spacing w:after="0" w:line="240" w:lineRule="auto"/>
        <w:jc w:val="both"/>
        <w:rPr>
          <w:rFonts w:ascii="Times New Roman" w:hAnsi="Times New Roman" w:cs="Times New Roman"/>
          <w:b/>
          <w:bCs/>
          <w:sz w:val="24"/>
          <w:szCs w:val="24"/>
        </w:rPr>
      </w:pPr>
    </w:p>
    <w:p w14:paraId="5DEF24F4" w14:textId="77777777" w:rsidR="005C5F02" w:rsidRDefault="005C5F02" w:rsidP="005C5F02">
      <w:pPr>
        <w:spacing w:after="0" w:line="240" w:lineRule="auto"/>
        <w:jc w:val="both"/>
        <w:rPr>
          <w:rFonts w:ascii="Times New Roman" w:hAnsi="Times New Roman" w:cs="Times New Roman"/>
          <w:b/>
          <w:bCs/>
          <w:sz w:val="24"/>
          <w:szCs w:val="24"/>
        </w:rPr>
      </w:pPr>
    </w:p>
    <w:p w14:paraId="00535640" w14:textId="77777777" w:rsidR="005C5F02" w:rsidRDefault="005C5F02" w:rsidP="005C5F02">
      <w:pPr>
        <w:spacing w:after="0" w:line="240" w:lineRule="auto"/>
        <w:jc w:val="both"/>
        <w:rPr>
          <w:rFonts w:ascii="Times New Roman" w:hAnsi="Times New Roman" w:cs="Times New Roman"/>
          <w:b/>
          <w:bCs/>
          <w:sz w:val="24"/>
          <w:szCs w:val="24"/>
        </w:rPr>
      </w:pPr>
    </w:p>
    <w:p w14:paraId="3352576F" w14:textId="77777777" w:rsidR="005C5F02" w:rsidRDefault="005C5F02" w:rsidP="005C5F02">
      <w:pPr>
        <w:spacing w:after="0" w:line="240" w:lineRule="auto"/>
        <w:jc w:val="both"/>
        <w:rPr>
          <w:rFonts w:ascii="Times New Roman" w:hAnsi="Times New Roman" w:cs="Times New Roman"/>
          <w:b/>
          <w:bCs/>
          <w:sz w:val="24"/>
          <w:szCs w:val="24"/>
        </w:rPr>
      </w:pPr>
    </w:p>
    <w:p w14:paraId="4FF54FC0" w14:textId="182089C7" w:rsidR="005C5F02" w:rsidRPr="00C902C8"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Existing MSME Classification</w:t>
      </w:r>
    </w:p>
    <w:p w14:paraId="11014987" w14:textId="77777777" w:rsidR="005C5F02" w:rsidRPr="00C902C8" w:rsidRDefault="005C5F02" w:rsidP="005C5F02">
      <w:pPr>
        <w:spacing w:after="0" w:line="24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5C5F02" w:rsidRPr="00C902C8" w14:paraId="1C38D3AA" w14:textId="77777777" w:rsidTr="00F533A7">
        <w:tc>
          <w:tcPr>
            <w:tcW w:w="9016" w:type="dxa"/>
            <w:gridSpan w:val="4"/>
          </w:tcPr>
          <w:p w14:paraId="796E6C2C" w14:textId="77777777" w:rsidR="005C5F02" w:rsidRPr="00C902C8" w:rsidRDefault="005C5F02" w:rsidP="00F533A7">
            <w:pPr>
              <w:jc w:val="both"/>
              <w:rPr>
                <w:rFonts w:ascii="Times New Roman" w:hAnsi="Times New Roman" w:cs="Times New Roman"/>
                <w:b/>
                <w:bCs/>
                <w:sz w:val="24"/>
                <w:szCs w:val="24"/>
              </w:rPr>
            </w:pPr>
            <w:r w:rsidRPr="00C902C8">
              <w:rPr>
                <w:rFonts w:ascii="Times New Roman" w:hAnsi="Times New Roman" w:cs="Times New Roman"/>
                <w:sz w:val="24"/>
                <w:szCs w:val="24"/>
              </w:rPr>
              <w:t>Existing MSME Classification</w:t>
            </w:r>
          </w:p>
        </w:tc>
      </w:tr>
      <w:tr w:rsidR="005C5F02" w:rsidRPr="00C902C8" w14:paraId="2EFDB154" w14:textId="77777777" w:rsidTr="00F533A7">
        <w:tc>
          <w:tcPr>
            <w:tcW w:w="9016" w:type="dxa"/>
            <w:gridSpan w:val="4"/>
          </w:tcPr>
          <w:p w14:paraId="4B1CE804" w14:textId="77777777" w:rsidR="005C5F02" w:rsidRPr="00C902C8" w:rsidRDefault="005C5F02" w:rsidP="00F533A7">
            <w:pPr>
              <w:jc w:val="both"/>
              <w:rPr>
                <w:rFonts w:ascii="Times New Roman" w:hAnsi="Times New Roman" w:cs="Times New Roman"/>
                <w:b/>
                <w:bCs/>
                <w:sz w:val="24"/>
                <w:szCs w:val="24"/>
              </w:rPr>
            </w:pPr>
            <w:r w:rsidRPr="00C902C8">
              <w:rPr>
                <w:rFonts w:ascii="Times New Roman" w:hAnsi="Times New Roman" w:cs="Times New Roman"/>
                <w:sz w:val="24"/>
                <w:szCs w:val="24"/>
              </w:rPr>
              <w:t>Criteria: Investment in Plant &amp; Machinery or Equipment</w:t>
            </w:r>
          </w:p>
        </w:tc>
      </w:tr>
      <w:tr w:rsidR="005C5F02" w:rsidRPr="00C902C8" w14:paraId="6EA98AC0" w14:textId="77777777" w:rsidTr="00F533A7">
        <w:tc>
          <w:tcPr>
            <w:tcW w:w="2254" w:type="dxa"/>
          </w:tcPr>
          <w:p w14:paraId="5588AF1E" w14:textId="77777777" w:rsidR="005C5F02" w:rsidRPr="00C902C8" w:rsidRDefault="005C5F02" w:rsidP="00F533A7">
            <w:pPr>
              <w:jc w:val="both"/>
              <w:rPr>
                <w:rFonts w:ascii="Times New Roman" w:hAnsi="Times New Roman" w:cs="Times New Roman"/>
                <w:b/>
                <w:bCs/>
                <w:sz w:val="24"/>
                <w:szCs w:val="24"/>
              </w:rPr>
            </w:pPr>
            <w:r w:rsidRPr="00C902C8">
              <w:rPr>
                <w:rFonts w:ascii="Times New Roman" w:hAnsi="Times New Roman" w:cs="Times New Roman"/>
                <w:b/>
                <w:bCs/>
                <w:sz w:val="24"/>
                <w:szCs w:val="24"/>
              </w:rPr>
              <w:t>Classification</w:t>
            </w:r>
          </w:p>
        </w:tc>
        <w:tc>
          <w:tcPr>
            <w:tcW w:w="2254" w:type="dxa"/>
          </w:tcPr>
          <w:p w14:paraId="77B2F64D" w14:textId="77777777" w:rsidR="005C5F02" w:rsidRPr="00C902C8" w:rsidRDefault="005C5F02" w:rsidP="00F533A7">
            <w:pPr>
              <w:jc w:val="both"/>
              <w:rPr>
                <w:rFonts w:ascii="Times New Roman" w:hAnsi="Times New Roman" w:cs="Times New Roman"/>
                <w:b/>
                <w:bCs/>
                <w:sz w:val="24"/>
                <w:szCs w:val="24"/>
              </w:rPr>
            </w:pPr>
            <w:r w:rsidRPr="00C902C8">
              <w:rPr>
                <w:rFonts w:ascii="Times New Roman" w:hAnsi="Times New Roman" w:cs="Times New Roman"/>
                <w:b/>
                <w:bCs/>
                <w:sz w:val="24"/>
                <w:szCs w:val="24"/>
              </w:rPr>
              <w:t>Micro</w:t>
            </w:r>
          </w:p>
        </w:tc>
        <w:tc>
          <w:tcPr>
            <w:tcW w:w="2254" w:type="dxa"/>
          </w:tcPr>
          <w:p w14:paraId="279FD119" w14:textId="77777777" w:rsidR="005C5F02" w:rsidRPr="00C902C8" w:rsidRDefault="005C5F02" w:rsidP="00F533A7">
            <w:pPr>
              <w:jc w:val="both"/>
              <w:rPr>
                <w:rFonts w:ascii="Times New Roman" w:hAnsi="Times New Roman" w:cs="Times New Roman"/>
                <w:b/>
                <w:bCs/>
                <w:sz w:val="24"/>
                <w:szCs w:val="24"/>
              </w:rPr>
            </w:pPr>
            <w:r w:rsidRPr="00C902C8">
              <w:rPr>
                <w:rFonts w:ascii="Times New Roman" w:hAnsi="Times New Roman" w:cs="Times New Roman"/>
                <w:b/>
                <w:bCs/>
                <w:sz w:val="24"/>
                <w:szCs w:val="24"/>
              </w:rPr>
              <w:t>Small</w:t>
            </w:r>
          </w:p>
        </w:tc>
        <w:tc>
          <w:tcPr>
            <w:tcW w:w="2254" w:type="dxa"/>
          </w:tcPr>
          <w:p w14:paraId="39257FED" w14:textId="77777777" w:rsidR="005C5F02" w:rsidRPr="00C902C8" w:rsidRDefault="005C5F02" w:rsidP="00F533A7">
            <w:pPr>
              <w:jc w:val="both"/>
              <w:rPr>
                <w:rFonts w:ascii="Times New Roman" w:hAnsi="Times New Roman" w:cs="Times New Roman"/>
                <w:b/>
                <w:bCs/>
                <w:sz w:val="24"/>
                <w:szCs w:val="24"/>
              </w:rPr>
            </w:pPr>
            <w:r w:rsidRPr="00C902C8">
              <w:rPr>
                <w:rFonts w:ascii="Times New Roman" w:hAnsi="Times New Roman" w:cs="Times New Roman"/>
                <w:b/>
                <w:bCs/>
                <w:sz w:val="24"/>
                <w:szCs w:val="24"/>
              </w:rPr>
              <w:t>Medium</w:t>
            </w:r>
          </w:p>
        </w:tc>
      </w:tr>
      <w:tr w:rsidR="005C5F02" w:rsidRPr="00C902C8" w14:paraId="5BFF8A07" w14:textId="77777777" w:rsidTr="00F533A7">
        <w:tc>
          <w:tcPr>
            <w:tcW w:w="2254" w:type="dxa"/>
          </w:tcPr>
          <w:p w14:paraId="793CD7EA" w14:textId="77777777" w:rsidR="005C5F02" w:rsidRPr="00C902C8" w:rsidRDefault="005C5F02" w:rsidP="00F533A7">
            <w:pPr>
              <w:jc w:val="both"/>
              <w:rPr>
                <w:rFonts w:ascii="Times New Roman" w:hAnsi="Times New Roman" w:cs="Times New Roman"/>
                <w:b/>
                <w:bCs/>
                <w:sz w:val="24"/>
                <w:szCs w:val="24"/>
              </w:rPr>
            </w:pPr>
            <w:r w:rsidRPr="00C902C8">
              <w:rPr>
                <w:rFonts w:ascii="Times New Roman" w:hAnsi="Times New Roman" w:cs="Times New Roman"/>
                <w:sz w:val="24"/>
                <w:szCs w:val="24"/>
              </w:rPr>
              <w:t>Mfg. Enterprises</w:t>
            </w:r>
          </w:p>
        </w:tc>
        <w:tc>
          <w:tcPr>
            <w:tcW w:w="2254" w:type="dxa"/>
          </w:tcPr>
          <w:p w14:paraId="2E342911" w14:textId="77777777" w:rsidR="005C5F02" w:rsidRPr="00C902C8" w:rsidRDefault="005C5F02" w:rsidP="00F533A7">
            <w:pPr>
              <w:jc w:val="both"/>
              <w:rPr>
                <w:rFonts w:ascii="Times New Roman" w:hAnsi="Times New Roman" w:cs="Times New Roman"/>
                <w:b/>
                <w:bCs/>
                <w:sz w:val="24"/>
                <w:szCs w:val="24"/>
              </w:rPr>
            </w:pPr>
            <w:r w:rsidRPr="00C902C8">
              <w:rPr>
                <w:rFonts w:ascii="Times New Roman" w:hAnsi="Times New Roman" w:cs="Times New Roman"/>
                <w:sz w:val="24"/>
                <w:szCs w:val="24"/>
              </w:rPr>
              <w:t xml:space="preserve">Investment&lt;Rs. 25 </w:t>
            </w:r>
            <w:proofErr w:type="gramStart"/>
            <w:r w:rsidRPr="00C902C8">
              <w:rPr>
                <w:rFonts w:ascii="Times New Roman" w:hAnsi="Times New Roman" w:cs="Times New Roman"/>
                <w:sz w:val="24"/>
                <w:szCs w:val="24"/>
              </w:rPr>
              <w:t>lac</w:t>
            </w:r>
            <w:proofErr w:type="gramEnd"/>
          </w:p>
        </w:tc>
        <w:tc>
          <w:tcPr>
            <w:tcW w:w="2254" w:type="dxa"/>
          </w:tcPr>
          <w:p w14:paraId="22182ACC" w14:textId="77777777" w:rsidR="005C5F02" w:rsidRPr="00C902C8" w:rsidRDefault="005C5F02" w:rsidP="00F533A7">
            <w:pPr>
              <w:jc w:val="both"/>
              <w:rPr>
                <w:rFonts w:ascii="Times New Roman" w:hAnsi="Times New Roman" w:cs="Times New Roman"/>
                <w:b/>
                <w:bCs/>
                <w:sz w:val="24"/>
                <w:szCs w:val="24"/>
              </w:rPr>
            </w:pPr>
            <w:r w:rsidRPr="00C902C8">
              <w:rPr>
                <w:rFonts w:ascii="Times New Roman" w:hAnsi="Times New Roman" w:cs="Times New Roman"/>
                <w:sz w:val="24"/>
                <w:szCs w:val="24"/>
              </w:rPr>
              <w:t>Investment&lt;Rs. 5 cr.</w:t>
            </w:r>
          </w:p>
        </w:tc>
        <w:tc>
          <w:tcPr>
            <w:tcW w:w="2254" w:type="dxa"/>
          </w:tcPr>
          <w:p w14:paraId="142EA1BD" w14:textId="77777777" w:rsidR="005C5F02" w:rsidRPr="00C902C8" w:rsidRDefault="005C5F02" w:rsidP="00F533A7">
            <w:pPr>
              <w:jc w:val="both"/>
              <w:rPr>
                <w:rFonts w:ascii="Times New Roman" w:hAnsi="Times New Roman" w:cs="Times New Roman"/>
                <w:b/>
                <w:bCs/>
                <w:sz w:val="24"/>
                <w:szCs w:val="24"/>
              </w:rPr>
            </w:pPr>
            <w:r w:rsidRPr="00C902C8">
              <w:rPr>
                <w:rFonts w:ascii="Times New Roman" w:hAnsi="Times New Roman" w:cs="Times New Roman"/>
                <w:sz w:val="24"/>
                <w:szCs w:val="24"/>
              </w:rPr>
              <w:t>Investment &lt;Rs. 10 cr.</w:t>
            </w:r>
          </w:p>
        </w:tc>
      </w:tr>
      <w:tr w:rsidR="005C5F02" w:rsidRPr="00C902C8" w14:paraId="250685B1" w14:textId="77777777" w:rsidTr="00F533A7">
        <w:tc>
          <w:tcPr>
            <w:tcW w:w="2254" w:type="dxa"/>
          </w:tcPr>
          <w:p w14:paraId="755F1B7C" w14:textId="77777777" w:rsidR="005C5F02" w:rsidRPr="00C902C8" w:rsidRDefault="005C5F02" w:rsidP="00F533A7">
            <w:pPr>
              <w:jc w:val="both"/>
              <w:rPr>
                <w:rFonts w:ascii="Times New Roman" w:hAnsi="Times New Roman" w:cs="Times New Roman"/>
                <w:sz w:val="24"/>
                <w:szCs w:val="24"/>
              </w:rPr>
            </w:pPr>
            <w:r w:rsidRPr="00C902C8">
              <w:rPr>
                <w:rFonts w:ascii="Times New Roman" w:hAnsi="Times New Roman" w:cs="Times New Roman"/>
                <w:sz w:val="24"/>
                <w:szCs w:val="24"/>
              </w:rPr>
              <w:t>Services Enterprise</w:t>
            </w:r>
          </w:p>
        </w:tc>
        <w:tc>
          <w:tcPr>
            <w:tcW w:w="2254" w:type="dxa"/>
          </w:tcPr>
          <w:p w14:paraId="5CAE684B" w14:textId="77777777" w:rsidR="005C5F02" w:rsidRPr="00C902C8" w:rsidRDefault="005C5F02" w:rsidP="00F533A7">
            <w:pPr>
              <w:jc w:val="both"/>
              <w:rPr>
                <w:rFonts w:ascii="Times New Roman" w:hAnsi="Times New Roman" w:cs="Times New Roman"/>
                <w:sz w:val="24"/>
                <w:szCs w:val="24"/>
              </w:rPr>
            </w:pPr>
            <w:r w:rsidRPr="00C902C8">
              <w:rPr>
                <w:rFonts w:ascii="Times New Roman" w:hAnsi="Times New Roman" w:cs="Times New Roman"/>
                <w:sz w:val="24"/>
                <w:szCs w:val="24"/>
              </w:rPr>
              <w:t xml:space="preserve">Investment&lt;Rs. 10 </w:t>
            </w:r>
            <w:proofErr w:type="gramStart"/>
            <w:r w:rsidRPr="00C902C8">
              <w:rPr>
                <w:rFonts w:ascii="Times New Roman" w:hAnsi="Times New Roman" w:cs="Times New Roman"/>
                <w:sz w:val="24"/>
                <w:szCs w:val="24"/>
              </w:rPr>
              <w:t>lac</w:t>
            </w:r>
            <w:proofErr w:type="gramEnd"/>
          </w:p>
        </w:tc>
        <w:tc>
          <w:tcPr>
            <w:tcW w:w="2254" w:type="dxa"/>
          </w:tcPr>
          <w:p w14:paraId="29E3F604" w14:textId="77777777" w:rsidR="005C5F02" w:rsidRPr="00C902C8" w:rsidRDefault="005C5F02" w:rsidP="00F533A7">
            <w:pPr>
              <w:jc w:val="both"/>
              <w:rPr>
                <w:rFonts w:ascii="Times New Roman" w:hAnsi="Times New Roman" w:cs="Times New Roman"/>
                <w:sz w:val="24"/>
                <w:szCs w:val="24"/>
              </w:rPr>
            </w:pPr>
            <w:r w:rsidRPr="00C902C8">
              <w:rPr>
                <w:rFonts w:ascii="Times New Roman" w:hAnsi="Times New Roman" w:cs="Times New Roman"/>
                <w:sz w:val="24"/>
                <w:szCs w:val="24"/>
              </w:rPr>
              <w:t>Investment&lt; Rs. 2 cr.</w:t>
            </w:r>
          </w:p>
        </w:tc>
        <w:tc>
          <w:tcPr>
            <w:tcW w:w="2254" w:type="dxa"/>
          </w:tcPr>
          <w:p w14:paraId="2961B918" w14:textId="77777777" w:rsidR="005C5F02" w:rsidRPr="00C902C8" w:rsidRDefault="005C5F02" w:rsidP="00F533A7">
            <w:pPr>
              <w:jc w:val="both"/>
              <w:rPr>
                <w:rFonts w:ascii="Times New Roman" w:hAnsi="Times New Roman" w:cs="Times New Roman"/>
                <w:sz w:val="24"/>
                <w:szCs w:val="24"/>
              </w:rPr>
            </w:pPr>
            <w:r w:rsidRPr="00C902C8">
              <w:rPr>
                <w:rFonts w:ascii="Times New Roman" w:hAnsi="Times New Roman" w:cs="Times New Roman"/>
                <w:sz w:val="24"/>
                <w:szCs w:val="24"/>
              </w:rPr>
              <w:t>Investment&lt;Rs. 5 cr.</w:t>
            </w:r>
          </w:p>
        </w:tc>
      </w:tr>
      <w:tr w:rsidR="005C5F02" w:rsidRPr="00C902C8" w14:paraId="6C20B892" w14:textId="77777777" w:rsidTr="00F533A7">
        <w:tc>
          <w:tcPr>
            <w:tcW w:w="9016" w:type="dxa"/>
            <w:gridSpan w:val="4"/>
          </w:tcPr>
          <w:p w14:paraId="0643A515" w14:textId="77777777" w:rsidR="005C5F02" w:rsidRPr="00C902C8" w:rsidRDefault="005C5F02" w:rsidP="00F533A7">
            <w:pPr>
              <w:jc w:val="both"/>
              <w:rPr>
                <w:rFonts w:ascii="Times New Roman" w:hAnsi="Times New Roman" w:cs="Times New Roman"/>
                <w:sz w:val="24"/>
                <w:szCs w:val="24"/>
              </w:rPr>
            </w:pPr>
          </w:p>
        </w:tc>
      </w:tr>
      <w:tr w:rsidR="005C5F02" w:rsidRPr="00C902C8" w14:paraId="759160A8" w14:textId="77777777" w:rsidTr="00F533A7">
        <w:tc>
          <w:tcPr>
            <w:tcW w:w="9016" w:type="dxa"/>
            <w:gridSpan w:val="4"/>
          </w:tcPr>
          <w:p w14:paraId="3E559DBE" w14:textId="77777777" w:rsidR="005C5F02" w:rsidRPr="00C902C8" w:rsidRDefault="005C5F02" w:rsidP="00F533A7">
            <w:pPr>
              <w:jc w:val="both"/>
              <w:rPr>
                <w:rFonts w:ascii="Times New Roman" w:hAnsi="Times New Roman" w:cs="Times New Roman"/>
                <w:sz w:val="24"/>
                <w:szCs w:val="24"/>
              </w:rPr>
            </w:pPr>
            <w:r w:rsidRPr="00C902C8">
              <w:rPr>
                <w:rFonts w:ascii="Times New Roman" w:hAnsi="Times New Roman" w:cs="Times New Roman"/>
                <w:sz w:val="24"/>
                <w:szCs w:val="24"/>
              </w:rPr>
              <w:t>Revised MSME Classification</w:t>
            </w:r>
          </w:p>
        </w:tc>
      </w:tr>
      <w:tr w:rsidR="005C5F02" w:rsidRPr="00C902C8" w14:paraId="62454F8B" w14:textId="77777777" w:rsidTr="00F533A7">
        <w:tc>
          <w:tcPr>
            <w:tcW w:w="9016" w:type="dxa"/>
            <w:gridSpan w:val="4"/>
          </w:tcPr>
          <w:p w14:paraId="6535F6AE" w14:textId="77777777" w:rsidR="005C5F02" w:rsidRPr="00C902C8" w:rsidRDefault="005C5F02" w:rsidP="00F533A7">
            <w:pPr>
              <w:jc w:val="both"/>
              <w:rPr>
                <w:rFonts w:ascii="Times New Roman" w:hAnsi="Times New Roman" w:cs="Times New Roman"/>
                <w:sz w:val="24"/>
                <w:szCs w:val="24"/>
              </w:rPr>
            </w:pPr>
            <w:r w:rsidRPr="00C902C8">
              <w:rPr>
                <w:rFonts w:ascii="Times New Roman" w:hAnsi="Times New Roman" w:cs="Times New Roman"/>
                <w:sz w:val="24"/>
                <w:szCs w:val="24"/>
              </w:rPr>
              <w:t>Composite Criteria: Investment and Annual Turnover</w:t>
            </w:r>
          </w:p>
        </w:tc>
      </w:tr>
      <w:tr w:rsidR="005C5F02" w:rsidRPr="00C902C8" w14:paraId="026DAA6E" w14:textId="77777777" w:rsidTr="00F533A7">
        <w:tc>
          <w:tcPr>
            <w:tcW w:w="2254" w:type="dxa"/>
          </w:tcPr>
          <w:p w14:paraId="18097BA3" w14:textId="77777777" w:rsidR="005C5F02" w:rsidRPr="00C902C8" w:rsidRDefault="005C5F02" w:rsidP="00F533A7">
            <w:pPr>
              <w:jc w:val="both"/>
              <w:rPr>
                <w:rFonts w:ascii="Times New Roman" w:hAnsi="Times New Roman" w:cs="Times New Roman"/>
                <w:b/>
                <w:bCs/>
                <w:sz w:val="24"/>
                <w:szCs w:val="24"/>
              </w:rPr>
            </w:pPr>
            <w:r w:rsidRPr="00C902C8">
              <w:rPr>
                <w:rFonts w:ascii="Times New Roman" w:hAnsi="Times New Roman" w:cs="Times New Roman"/>
                <w:b/>
                <w:bCs/>
                <w:sz w:val="24"/>
                <w:szCs w:val="24"/>
              </w:rPr>
              <w:t>Classification</w:t>
            </w:r>
          </w:p>
        </w:tc>
        <w:tc>
          <w:tcPr>
            <w:tcW w:w="2254" w:type="dxa"/>
          </w:tcPr>
          <w:p w14:paraId="3ED8E485" w14:textId="77777777" w:rsidR="005C5F02" w:rsidRPr="00C902C8" w:rsidRDefault="005C5F02" w:rsidP="00F533A7">
            <w:pPr>
              <w:jc w:val="both"/>
              <w:rPr>
                <w:rFonts w:ascii="Times New Roman" w:hAnsi="Times New Roman" w:cs="Times New Roman"/>
                <w:b/>
                <w:bCs/>
                <w:sz w:val="24"/>
                <w:szCs w:val="24"/>
              </w:rPr>
            </w:pPr>
            <w:r w:rsidRPr="00C902C8">
              <w:rPr>
                <w:rFonts w:ascii="Times New Roman" w:hAnsi="Times New Roman" w:cs="Times New Roman"/>
                <w:b/>
                <w:bCs/>
                <w:sz w:val="24"/>
                <w:szCs w:val="24"/>
              </w:rPr>
              <w:t>Micro</w:t>
            </w:r>
          </w:p>
        </w:tc>
        <w:tc>
          <w:tcPr>
            <w:tcW w:w="2254" w:type="dxa"/>
          </w:tcPr>
          <w:p w14:paraId="21C3A706" w14:textId="77777777" w:rsidR="005C5F02" w:rsidRPr="00C902C8" w:rsidRDefault="005C5F02" w:rsidP="00F533A7">
            <w:pPr>
              <w:jc w:val="both"/>
              <w:rPr>
                <w:rFonts w:ascii="Times New Roman" w:hAnsi="Times New Roman" w:cs="Times New Roman"/>
                <w:b/>
                <w:bCs/>
                <w:sz w:val="24"/>
                <w:szCs w:val="24"/>
              </w:rPr>
            </w:pPr>
            <w:r w:rsidRPr="00C902C8">
              <w:rPr>
                <w:rFonts w:ascii="Times New Roman" w:hAnsi="Times New Roman" w:cs="Times New Roman"/>
                <w:b/>
                <w:bCs/>
                <w:sz w:val="24"/>
                <w:szCs w:val="24"/>
              </w:rPr>
              <w:t>Small</w:t>
            </w:r>
          </w:p>
        </w:tc>
        <w:tc>
          <w:tcPr>
            <w:tcW w:w="2254" w:type="dxa"/>
          </w:tcPr>
          <w:p w14:paraId="69EB4973" w14:textId="77777777" w:rsidR="005C5F02" w:rsidRPr="00C902C8" w:rsidRDefault="005C5F02" w:rsidP="00F533A7">
            <w:pPr>
              <w:jc w:val="both"/>
              <w:rPr>
                <w:rFonts w:ascii="Times New Roman" w:hAnsi="Times New Roman" w:cs="Times New Roman"/>
                <w:b/>
                <w:bCs/>
                <w:sz w:val="24"/>
                <w:szCs w:val="24"/>
              </w:rPr>
            </w:pPr>
            <w:r w:rsidRPr="00C902C8">
              <w:rPr>
                <w:rFonts w:ascii="Times New Roman" w:hAnsi="Times New Roman" w:cs="Times New Roman"/>
                <w:b/>
                <w:bCs/>
                <w:sz w:val="24"/>
                <w:szCs w:val="24"/>
              </w:rPr>
              <w:t>Medium</w:t>
            </w:r>
          </w:p>
        </w:tc>
      </w:tr>
      <w:tr w:rsidR="005C5F02" w:rsidRPr="00C902C8" w14:paraId="73092ABA" w14:textId="77777777" w:rsidTr="00F533A7">
        <w:tc>
          <w:tcPr>
            <w:tcW w:w="2254" w:type="dxa"/>
          </w:tcPr>
          <w:p w14:paraId="442FF5C8" w14:textId="77777777" w:rsidR="005C5F02" w:rsidRPr="00C902C8" w:rsidRDefault="005C5F02" w:rsidP="00F533A7">
            <w:pPr>
              <w:jc w:val="both"/>
              <w:rPr>
                <w:rFonts w:ascii="Times New Roman" w:hAnsi="Times New Roman" w:cs="Times New Roman"/>
                <w:sz w:val="24"/>
                <w:szCs w:val="24"/>
              </w:rPr>
            </w:pPr>
            <w:r w:rsidRPr="00C902C8">
              <w:rPr>
                <w:rFonts w:ascii="Times New Roman" w:hAnsi="Times New Roman" w:cs="Times New Roman"/>
                <w:sz w:val="24"/>
                <w:szCs w:val="24"/>
              </w:rPr>
              <w:t>Manufacturing</w:t>
            </w:r>
          </w:p>
          <w:p w14:paraId="7EF4DFDB" w14:textId="77777777" w:rsidR="005C5F02" w:rsidRPr="00C902C8" w:rsidRDefault="005C5F02" w:rsidP="00F533A7">
            <w:pPr>
              <w:jc w:val="both"/>
              <w:rPr>
                <w:rFonts w:ascii="Times New Roman" w:hAnsi="Times New Roman" w:cs="Times New Roman"/>
                <w:sz w:val="24"/>
                <w:szCs w:val="24"/>
              </w:rPr>
            </w:pPr>
            <w:r w:rsidRPr="00C902C8">
              <w:rPr>
                <w:rFonts w:ascii="Times New Roman" w:hAnsi="Times New Roman" w:cs="Times New Roman"/>
                <w:sz w:val="24"/>
                <w:szCs w:val="24"/>
              </w:rPr>
              <w:t>&amp; Services</w:t>
            </w:r>
          </w:p>
          <w:p w14:paraId="133CE27A" w14:textId="77777777" w:rsidR="005C5F02" w:rsidRPr="00C902C8" w:rsidRDefault="005C5F02" w:rsidP="00F533A7">
            <w:pPr>
              <w:jc w:val="both"/>
              <w:rPr>
                <w:rFonts w:ascii="Times New Roman" w:hAnsi="Times New Roman" w:cs="Times New Roman"/>
                <w:sz w:val="24"/>
                <w:szCs w:val="24"/>
              </w:rPr>
            </w:pPr>
          </w:p>
        </w:tc>
        <w:tc>
          <w:tcPr>
            <w:tcW w:w="2254" w:type="dxa"/>
          </w:tcPr>
          <w:p w14:paraId="21C916FF" w14:textId="77777777" w:rsidR="005C5F02" w:rsidRPr="00C902C8" w:rsidRDefault="005C5F02" w:rsidP="00F533A7">
            <w:pPr>
              <w:jc w:val="both"/>
              <w:rPr>
                <w:rFonts w:ascii="Times New Roman" w:hAnsi="Times New Roman" w:cs="Times New Roman"/>
                <w:sz w:val="24"/>
                <w:szCs w:val="24"/>
              </w:rPr>
            </w:pPr>
            <w:r w:rsidRPr="00C902C8">
              <w:rPr>
                <w:rFonts w:ascii="Times New Roman" w:hAnsi="Times New Roman" w:cs="Times New Roman"/>
                <w:sz w:val="24"/>
                <w:szCs w:val="24"/>
              </w:rPr>
              <w:t>Investment&lt; Rs. 1 cr.</w:t>
            </w:r>
          </w:p>
          <w:p w14:paraId="3A8402B6" w14:textId="77777777" w:rsidR="005C5F02" w:rsidRPr="00C902C8" w:rsidRDefault="005C5F02" w:rsidP="00F533A7">
            <w:pPr>
              <w:jc w:val="both"/>
              <w:rPr>
                <w:rFonts w:ascii="Times New Roman" w:hAnsi="Times New Roman" w:cs="Times New Roman"/>
                <w:sz w:val="24"/>
                <w:szCs w:val="24"/>
              </w:rPr>
            </w:pPr>
            <w:r w:rsidRPr="00C902C8">
              <w:rPr>
                <w:rFonts w:ascii="Times New Roman" w:hAnsi="Times New Roman" w:cs="Times New Roman"/>
                <w:sz w:val="24"/>
                <w:szCs w:val="24"/>
              </w:rPr>
              <w:t>and</w:t>
            </w:r>
          </w:p>
          <w:p w14:paraId="7568E44B" w14:textId="77777777" w:rsidR="005C5F02" w:rsidRPr="00C902C8" w:rsidRDefault="005C5F02" w:rsidP="00F533A7">
            <w:pPr>
              <w:jc w:val="both"/>
              <w:rPr>
                <w:rFonts w:ascii="Times New Roman" w:hAnsi="Times New Roman" w:cs="Times New Roman"/>
                <w:sz w:val="24"/>
                <w:szCs w:val="24"/>
              </w:rPr>
            </w:pPr>
            <w:r w:rsidRPr="00C902C8">
              <w:rPr>
                <w:rFonts w:ascii="Times New Roman" w:hAnsi="Times New Roman" w:cs="Times New Roman"/>
                <w:sz w:val="24"/>
                <w:szCs w:val="24"/>
              </w:rPr>
              <w:t>Turnover &lt; Rs. 5 cr.</w:t>
            </w:r>
          </w:p>
        </w:tc>
        <w:tc>
          <w:tcPr>
            <w:tcW w:w="2254" w:type="dxa"/>
          </w:tcPr>
          <w:p w14:paraId="540B0BD4" w14:textId="77777777" w:rsidR="005C5F02" w:rsidRPr="00C902C8" w:rsidRDefault="005C5F02" w:rsidP="00F533A7">
            <w:pPr>
              <w:jc w:val="both"/>
              <w:rPr>
                <w:rFonts w:ascii="Times New Roman" w:hAnsi="Times New Roman" w:cs="Times New Roman"/>
                <w:sz w:val="24"/>
                <w:szCs w:val="24"/>
              </w:rPr>
            </w:pPr>
            <w:r w:rsidRPr="00C902C8">
              <w:rPr>
                <w:rFonts w:ascii="Times New Roman" w:hAnsi="Times New Roman" w:cs="Times New Roman"/>
                <w:sz w:val="24"/>
                <w:szCs w:val="24"/>
              </w:rPr>
              <w:t>Investment&lt; Rs. 10 cr.</w:t>
            </w:r>
          </w:p>
          <w:p w14:paraId="46D1A426" w14:textId="77777777" w:rsidR="005C5F02" w:rsidRPr="00C902C8" w:rsidRDefault="005C5F02" w:rsidP="00F533A7">
            <w:pPr>
              <w:jc w:val="both"/>
              <w:rPr>
                <w:rFonts w:ascii="Times New Roman" w:hAnsi="Times New Roman" w:cs="Times New Roman"/>
                <w:sz w:val="24"/>
                <w:szCs w:val="24"/>
              </w:rPr>
            </w:pPr>
            <w:r w:rsidRPr="00C902C8">
              <w:rPr>
                <w:rFonts w:ascii="Times New Roman" w:hAnsi="Times New Roman" w:cs="Times New Roman"/>
                <w:sz w:val="24"/>
                <w:szCs w:val="24"/>
              </w:rPr>
              <w:t>and</w:t>
            </w:r>
          </w:p>
          <w:p w14:paraId="7393215D" w14:textId="77777777" w:rsidR="005C5F02" w:rsidRPr="00C902C8" w:rsidRDefault="005C5F02" w:rsidP="00F533A7">
            <w:pPr>
              <w:jc w:val="both"/>
              <w:rPr>
                <w:rFonts w:ascii="Times New Roman" w:hAnsi="Times New Roman" w:cs="Times New Roman"/>
                <w:sz w:val="24"/>
                <w:szCs w:val="24"/>
              </w:rPr>
            </w:pPr>
            <w:r w:rsidRPr="00C902C8">
              <w:rPr>
                <w:rFonts w:ascii="Times New Roman" w:hAnsi="Times New Roman" w:cs="Times New Roman"/>
                <w:sz w:val="24"/>
                <w:szCs w:val="24"/>
              </w:rPr>
              <w:t>Turnover &lt; Rs. 50 cr.</w:t>
            </w:r>
          </w:p>
        </w:tc>
        <w:tc>
          <w:tcPr>
            <w:tcW w:w="2254" w:type="dxa"/>
          </w:tcPr>
          <w:p w14:paraId="6E73EBA3" w14:textId="77777777" w:rsidR="005C5F02" w:rsidRPr="00C902C8" w:rsidRDefault="005C5F02" w:rsidP="00F533A7">
            <w:pPr>
              <w:jc w:val="both"/>
              <w:rPr>
                <w:rFonts w:ascii="Times New Roman" w:hAnsi="Times New Roman" w:cs="Times New Roman"/>
                <w:sz w:val="24"/>
                <w:szCs w:val="24"/>
              </w:rPr>
            </w:pPr>
            <w:r w:rsidRPr="00C902C8">
              <w:rPr>
                <w:rFonts w:ascii="Times New Roman" w:hAnsi="Times New Roman" w:cs="Times New Roman"/>
                <w:sz w:val="24"/>
                <w:szCs w:val="24"/>
              </w:rPr>
              <w:t>Investment&lt; Rs. 20 cr.</w:t>
            </w:r>
          </w:p>
          <w:p w14:paraId="7023B9FB" w14:textId="77777777" w:rsidR="005C5F02" w:rsidRPr="00C902C8" w:rsidRDefault="005C5F02" w:rsidP="00F533A7">
            <w:pPr>
              <w:jc w:val="both"/>
              <w:rPr>
                <w:rFonts w:ascii="Times New Roman" w:hAnsi="Times New Roman" w:cs="Times New Roman"/>
                <w:sz w:val="24"/>
                <w:szCs w:val="24"/>
              </w:rPr>
            </w:pPr>
            <w:r w:rsidRPr="00C902C8">
              <w:rPr>
                <w:rFonts w:ascii="Times New Roman" w:hAnsi="Times New Roman" w:cs="Times New Roman"/>
                <w:sz w:val="24"/>
                <w:szCs w:val="24"/>
              </w:rPr>
              <w:t>and</w:t>
            </w:r>
          </w:p>
          <w:p w14:paraId="25A2D66F" w14:textId="77777777" w:rsidR="005C5F02" w:rsidRPr="00C902C8" w:rsidRDefault="005C5F02" w:rsidP="00F533A7">
            <w:pPr>
              <w:jc w:val="both"/>
              <w:rPr>
                <w:rFonts w:ascii="Times New Roman" w:hAnsi="Times New Roman" w:cs="Times New Roman"/>
                <w:sz w:val="24"/>
                <w:szCs w:val="24"/>
              </w:rPr>
            </w:pPr>
            <w:r w:rsidRPr="00C902C8">
              <w:rPr>
                <w:rFonts w:ascii="Times New Roman" w:hAnsi="Times New Roman" w:cs="Times New Roman"/>
                <w:sz w:val="24"/>
                <w:szCs w:val="24"/>
              </w:rPr>
              <w:t>Turnover &lt; Rs. 100 cr.</w:t>
            </w:r>
          </w:p>
        </w:tc>
      </w:tr>
    </w:tbl>
    <w:p w14:paraId="41B90992" w14:textId="77777777" w:rsidR="005C5F02" w:rsidRPr="00C902C8" w:rsidRDefault="005C5F02" w:rsidP="005C5F02">
      <w:pPr>
        <w:spacing w:after="0" w:line="240" w:lineRule="auto"/>
        <w:jc w:val="both"/>
        <w:rPr>
          <w:rFonts w:ascii="Times New Roman" w:hAnsi="Times New Roman" w:cs="Times New Roman"/>
          <w:b/>
          <w:bCs/>
          <w:sz w:val="24"/>
          <w:szCs w:val="24"/>
        </w:rPr>
      </w:pPr>
    </w:p>
    <w:p w14:paraId="0140D0BE" w14:textId="77777777" w:rsidR="00AE747B" w:rsidRDefault="00AE747B" w:rsidP="005C5F02">
      <w:pPr>
        <w:spacing w:after="0" w:line="240" w:lineRule="auto"/>
        <w:jc w:val="both"/>
        <w:rPr>
          <w:rFonts w:ascii="Times New Roman" w:hAnsi="Times New Roman" w:cs="Times New Roman"/>
          <w:b/>
          <w:bCs/>
          <w:sz w:val="24"/>
          <w:szCs w:val="24"/>
        </w:rPr>
      </w:pPr>
    </w:p>
    <w:p w14:paraId="72B1045F" w14:textId="5441F42A"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Other interventions for MSMEs</w:t>
      </w:r>
    </w:p>
    <w:p w14:paraId="0C01A4A7" w14:textId="77777777" w:rsidR="005C5F02" w:rsidRPr="00C902C8" w:rsidRDefault="005C5F02" w:rsidP="005C5F02">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MSMEs currently face problems of marketing and liquidity due to COVID.</w:t>
      </w:r>
    </w:p>
    <w:p w14:paraId="36166320" w14:textId="77777777" w:rsidR="005C5F02" w:rsidRPr="00C902C8" w:rsidRDefault="005C5F02" w:rsidP="005C5F02">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e-market linkage for MSMEs to be promoted to act as a replacement for trade fairs and exhibitions.</w:t>
      </w:r>
    </w:p>
    <w:p w14:paraId="13E58EE8" w14:textId="77777777" w:rsidR="005C5F02" w:rsidRPr="00C902C8" w:rsidRDefault="005C5F02" w:rsidP="005C5F02">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Fintech will be used to enhance transaction-based lending using the data generated by the e-marketplace.</w:t>
      </w:r>
    </w:p>
    <w:p w14:paraId="68A80A4F" w14:textId="77777777" w:rsidR="005C5F02" w:rsidRPr="00C902C8" w:rsidRDefault="005C5F02" w:rsidP="005C5F02">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Government has been continuously monitoring settlement of dues to MSME vendors from Government and Central Public Sector Undertakings.</w:t>
      </w:r>
    </w:p>
    <w:p w14:paraId="11A0631A" w14:textId="77777777" w:rsidR="005C5F02" w:rsidRPr="00C902C8" w:rsidRDefault="005C5F02" w:rsidP="005C5F02">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MSME receivables from Gov and </w:t>
      </w:r>
      <w:proofErr w:type="spellStart"/>
      <w:r w:rsidRPr="00C902C8">
        <w:rPr>
          <w:rFonts w:ascii="Times New Roman" w:hAnsi="Times New Roman" w:cs="Times New Roman"/>
          <w:sz w:val="24"/>
          <w:szCs w:val="24"/>
        </w:rPr>
        <w:t>CPSEs</w:t>
      </w:r>
      <w:proofErr w:type="spellEnd"/>
      <w:r w:rsidRPr="00C902C8">
        <w:rPr>
          <w:rFonts w:ascii="Times New Roman" w:hAnsi="Times New Roman" w:cs="Times New Roman"/>
          <w:sz w:val="24"/>
          <w:szCs w:val="24"/>
        </w:rPr>
        <w:t xml:space="preserve"> to be released in 45 days</w:t>
      </w:r>
    </w:p>
    <w:p w14:paraId="51068D39" w14:textId="77777777" w:rsidR="005C5F02" w:rsidRDefault="005C5F02" w:rsidP="005C5F02">
      <w:pPr>
        <w:pStyle w:val="ListParagraph"/>
        <w:pBdr>
          <w:bottom w:val="single" w:sz="12" w:space="1" w:color="auto"/>
        </w:pBdr>
        <w:spacing w:after="0" w:line="240" w:lineRule="auto"/>
        <w:jc w:val="both"/>
        <w:rPr>
          <w:rFonts w:ascii="Times New Roman" w:hAnsi="Times New Roman" w:cs="Times New Roman"/>
          <w:sz w:val="24"/>
          <w:szCs w:val="24"/>
        </w:rPr>
      </w:pPr>
    </w:p>
    <w:p w14:paraId="0364A711" w14:textId="77777777" w:rsidR="005C5F02" w:rsidRDefault="005C5F02" w:rsidP="005C5F02">
      <w:pPr>
        <w:spacing w:after="0" w:line="240" w:lineRule="auto"/>
        <w:jc w:val="both"/>
        <w:rPr>
          <w:rFonts w:ascii="Times New Roman" w:hAnsi="Times New Roman" w:cs="Times New Roman"/>
          <w:b/>
          <w:bCs/>
          <w:sz w:val="24"/>
          <w:szCs w:val="24"/>
        </w:rPr>
      </w:pPr>
    </w:p>
    <w:p w14:paraId="292FBB56" w14:textId="77777777" w:rsidR="005C5F02" w:rsidRDefault="005C5F02" w:rsidP="005C5F02">
      <w:pPr>
        <w:spacing w:after="0" w:line="240" w:lineRule="auto"/>
        <w:jc w:val="both"/>
        <w:rPr>
          <w:rFonts w:ascii="Times New Roman" w:hAnsi="Times New Roman" w:cs="Times New Roman"/>
          <w:b/>
          <w:bCs/>
          <w:sz w:val="24"/>
          <w:szCs w:val="24"/>
        </w:rPr>
      </w:pPr>
    </w:p>
    <w:p w14:paraId="2732947B" w14:textId="77777777" w:rsidR="005C5F02"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Prudential Norms on Income Recognition, Asset Classification and Provisioning Pertaining to Advances - Projects under Implementation</w:t>
      </w:r>
    </w:p>
    <w:p w14:paraId="5A76FC09" w14:textId="77777777" w:rsidR="005C5F02" w:rsidRPr="00C902C8" w:rsidRDefault="005C5F02" w:rsidP="005C5F02">
      <w:pPr>
        <w:spacing w:after="0" w:line="240" w:lineRule="auto"/>
        <w:jc w:val="both"/>
        <w:rPr>
          <w:rFonts w:ascii="Times New Roman" w:hAnsi="Times New Roman" w:cs="Times New Roman"/>
          <w:b/>
          <w:bCs/>
          <w:sz w:val="24"/>
          <w:szCs w:val="24"/>
        </w:rPr>
      </w:pPr>
    </w:p>
    <w:p w14:paraId="21AFDECE"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RBI/2019-20/158 </w:t>
      </w:r>
      <w:proofErr w:type="spellStart"/>
      <w:r w:rsidRPr="00C902C8">
        <w:rPr>
          <w:rFonts w:ascii="Times New Roman" w:hAnsi="Times New Roman" w:cs="Times New Roman"/>
          <w:sz w:val="24"/>
          <w:szCs w:val="24"/>
        </w:rPr>
        <w:t>DOR.No.BP.BC.33</w:t>
      </w:r>
      <w:proofErr w:type="spellEnd"/>
      <w:r w:rsidRPr="00C902C8">
        <w:rPr>
          <w:rFonts w:ascii="Times New Roman" w:hAnsi="Times New Roman" w:cs="Times New Roman"/>
          <w:sz w:val="24"/>
          <w:szCs w:val="24"/>
        </w:rPr>
        <w:t xml:space="preserve">/21.04.048/2019-20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February 07, 2020</w:t>
      </w:r>
    </w:p>
    <w:p w14:paraId="73035023" w14:textId="77777777" w:rsidR="005C5F02" w:rsidRPr="00C902C8" w:rsidRDefault="005C5F02" w:rsidP="005C5F02">
      <w:pPr>
        <w:spacing w:after="0" w:line="240" w:lineRule="auto"/>
        <w:jc w:val="both"/>
        <w:rPr>
          <w:rFonts w:ascii="Times New Roman" w:hAnsi="Times New Roman" w:cs="Times New Roman"/>
          <w:sz w:val="24"/>
          <w:szCs w:val="24"/>
        </w:rPr>
      </w:pPr>
    </w:p>
    <w:p w14:paraId="61263D9B"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 Chief Executive Officer</w:t>
      </w:r>
    </w:p>
    <w:p w14:paraId="13165CEC"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All Scheduled Commercial Banks (excluding </w:t>
      </w:r>
      <w:proofErr w:type="spellStart"/>
      <w:r w:rsidRPr="00C902C8">
        <w:rPr>
          <w:rFonts w:ascii="Times New Roman" w:hAnsi="Times New Roman" w:cs="Times New Roman"/>
          <w:sz w:val="24"/>
          <w:szCs w:val="24"/>
        </w:rPr>
        <w:t>RRBs</w:t>
      </w:r>
      <w:proofErr w:type="spellEnd"/>
      <w:r w:rsidRPr="00C902C8">
        <w:rPr>
          <w:rFonts w:ascii="Times New Roman" w:hAnsi="Times New Roman" w:cs="Times New Roman"/>
          <w:sz w:val="24"/>
          <w:szCs w:val="24"/>
        </w:rPr>
        <w:t>)/ All Small Finance Banks</w:t>
      </w:r>
    </w:p>
    <w:p w14:paraId="5BF775A4" w14:textId="77777777" w:rsidR="005C5F02" w:rsidRPr="00C902C8" w:rsidRDefault="005C5F02" w:rsidP="005C5F02">
      <w:pPr>
        <w:spacing w:after="0" w:line="240" w:lineRule="auto"/>
        <w:jc w:val="both"/>
        <w:rPr>
          <w:rFonts w:ascii="Times New Roman" w:hAnsi="Times New Roman" w:cs="Times New Roman"/>
          <w:sz w:val="24"/>
          <w:szCs w:val="24"/>
        </w:rPr>
      </w:pPr>
    </w:p>
    <w:p w14:paraId="3F68FF5A"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circular </w:t>
      </w:r>
      <w:proofErr w:type="spellStart"/>
      <w:r w:rsidRPr="00C902C8">
        <w:rPr>
          <w:rFonts w:ascii="Times New Roman" w:hAnsi="Times New Roman" w:cs="Times New Roman"/>
          <w:sz w:val="24"/>
          <w:szCs w:val="24"/>
        </w:rPr>
        <w:t>DBR.No.BP.BC.84</w:t>
      </w:r>
      <w:proofErr w:type="spellEnd"/>
      <w:r w:rsidRPr="00C902C8">
        <w:rPr>
          <w:rFonts w:ascii="Times New Roman" w:hAnsi="Times New Roman" w:cs="Times New Roman"/>
          <w:sz w:val="24"/>
          <w:szCs w:val="24"/>
        </w:rPr>
        <w:t>/21.04.048/2014-15 dated April 6, 2015 on the subject. It has been decided to harmonise the guidelines for deferment of date of commencement of commercial operations (</w:t>
      </w:r>
      <w:proofErr w:type="spellStart"/>
      <w:r w:rsidRPr="00C902C8">
        <w:rPr>
          <w:rFonts w:ascii="Times New Roman" w:hAnsi="Times New Roman" w:cs="Times New Roman"/>
          <w:sz w:val="24"/>
          <w:szCs w:val="24"/>
        </w:rPr>
        <w:t>DCCO</w:t>
      </w:r>
      <w:proofErr w:type="spellEnd"/>
      <w:r w:rsidRPr="00C902C8">
        <w:rPr>
          <w:rFonts w:ascii="Times New Roman" w:hAnsi="Times New Roman" w:cs="Times New Roman"/>
          <w:sz w:val="24"/>
          <w:szCs w:val="24"/>
        </w:rPr>
        <w:t>) for projects in non-infrastructure and commercial real estate (</w:t>
      </w:r>
      <w:proofErr w:type="spellStart"/>
      <w:r w:rsidRPr="00C902C8">
        <w:rPr>
          <w:rFonts w:ascii="Times New Roman" w:hAnsi="Times New Roman" w:cs="Times New Roman"/>
          <w:sz w:val="24"/>
          <w:szCs w:val="24"/>
        </w:rPr>
        <w:t>CRE</w:t>
      </w:r>
      <w:proofErr w:type="spellEnd"/>
      <w:r w:rsidRPr="00C902C8">
        <w:rPr>
          <w:rFonts w:ascii="Times New Roman" w:hAnsi="Times New Roman" w:cs="Times New Roman"/>
          <w:sz w:val="24"/>
          <w:szCs w:val="24"/>
        </w:rPr>
        <w:t xml:space="preserve">) sectors. Accordingly, the revised guidelines for deferment of </w:t>
      </w:r>
      <w:proofErr w:type="spellStart"/>
      <w:r w:rsidRPr="00C902C8">
        <w:rPr>
          <w:rFonts w:ascii="Times New Roman" w:hAnsi="Times New Roman" w:cs="Times New Roman"/>
          <w:sz w:val="24"/>
          <w:szCs w:val="24"/>
        </w:rPr>
        <w:t>DCCO</w:t>
      </w:r>
      <w:proofErr w:type="spellEnd"/>
      <w:r w:rsidRPr="00C902C8">
        <w:rPr>
          <w:rFonts w:ascii="Times New Roman" w:hAnsi="Times New Roman" w:cs="Times New Roman"/>
          <w:sz w:val="24"/>
          <w:szCs w:val="24"/>
        </w:rPr>
        <w:t xml:space="preserve"> for </w:t>
      </w:r>
      <w:proofErr w:type="spellStart"/>
      <w:r w:rsidRPr="00C902C8">
        <w:rPr>
          <w:rFonts w:ascii="Times New Roman" w:hAnsi="Times New Roman" w:cs="Times New Roman"/>
          <w:sz w:val="24"/>
          <w:szCs w:val="24"/>
        </w:rPr>
        <w:t>CRE</w:t>
      </w:r>
      <w:proofErr w:type="spellEnd"/>
      <w:r w:rsidRPr="00C902C8">
        <w:rPr>
          <w:rFonts w:ascii="Times New Roman" w:hAnsi="Times New Roman" w:cs="Times New Roman"/>
          <w:sz w:val="24"/>
          <w:szCs w:val="24"/>
        </w:rPr>
        <w:t xml:space="preserve"> projects are as under:</w:t>
      </w:r>
    </w:p>
    <w:p w14:paraId="3A18F351" w14:textId="77777777" w:rsidR="005C5F02" w:rsidRPr="00C902C8" w:rsidRDefault="005C5F02" w:rsidP="005C5F02">
      <w:pPr>
        <w:spacing w:after="0" w:line="240" w:lineRule="auto"/>
        <w:jc w:val="both"/>
        <w:rPr>
          <w:rFonts w:ascii="Times New Roman" w:hAnsi="Times New Roman" w:cs="Times New Roman"/>
          <w:sz w:val="24"/>
          <w:szCs w:val="24"/>
        </w:rPr>
      </w:pPr>
    </w:p>
    <w:p w14:paraId="6A3B392C" w14:textId="77777777" w:rsidR="005C5F02" w:rsidRPr="00C902C8" w:rsidRDefault="005C5F02" w:rsidP="005C5F02">
      <w:p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lastRenderedPageBreak/>
        <w:t>i</w:t>
      </w:r>
      <w:proofErr w:type="spellEnd"/>
      <w:r w:rsidRPr="00C902C8">
        <w:rPr>
          <w:rFonts w:ascii="Times New Roman" w:hAnsi="Times New Roman" w:cs="Times New Roman"/>
          <w:sz w:val="24"/>
          <w:szCs w:val="24"/>
        </w:rPr>
        <w:t xml:space="preserve">. Revisions of the date of </w:t>
      </w:r>
      <w:proofErr w:type="spellStart"/>
      <w:r w:rsidRPr="00C902C8">
        <w:rPr>
          <w:rFonts w:ascii="Times New Roman" w:hAnsi="Times New Roman" w:cs="Times New Roman"/>
          <w:sz w:val="24"/>
          <w:szCs w:val="24"/>
        </w:rPr>
        <w:t>DCCO</w:t>
      </w:r>
      <w:proofErr w:type="spellEnd"/>
      <w:r w:rsidRPr="00C902C8">
        <w:rPr>
          <w:rFonts w:ascii="Times New Roman" w:hAnsi="Times New Roman" w:cs="Times New Roman"/>
          <w:sz w:val="24"/>
          <w:szCs w:val="24"/>
        </w:rPr>
        <w:t xml:space="preserve"> and consequential shift in repayment schedule for equal or shorter duration (including the start date and end date of revised repayment schedule) will not be treated as restructuring provided that:</w:t>
      </w:r>
    </w:p>
    <w:p w14:paraId="7D0D4983" w14:textId="77777777" w:rsidR="005C5F02" w:rsidRPr="00C902C8" w:rsidRDefault="005C5F02" w:rsidP="005C5F02">
      <w:pPr>
        <w:spacing w:after="0" w:line="240" w:lineRule="auto"/>
        <w:jc w:val="both"/>
        <w:rPr>
          <w:rFonts w:ascii="Times New Roman" w:hAnsi="Times New Roman" w:cs="Times New Roman"/>
          <w:sz w:val="24"/>
          <w:szCs w:val="24"/>
        </w:rPr>
      </w:pPr>
    </w:p>
    <w:p w14:paraId="01CA2273" w14:textId="77777777" w:rsidR="005C5F02" w:rsidRPr="00C902C8" w:rsidRDefault="005C5F02" w:rsidP="005C5F02">
      <w:pPr>
        <w:pStyle w:val="ListParagraph"/>
        <w:numPr>
          <w:ilvl w:val="0"/>
          <w:numId w:val="3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revised </w:t>
      </w:r>
      <w:proofErr w:type="spellStart"/>
      <w:r w:rsidRPr="00C902C8">
        <w:rPr>
          <w:rFonts w:ascii="Times New Roman" w:hAnsi="Times New Roman" w:cs="Times New Roman"/>
          <w:sz w:val="24"/>
          <w:szCs w:val="24"/>
        </w:rPr>
        <w:t>DCCO</w:t>
      </w:r>
      <w:proofErr w:type="spellEnd"/>
      <w:r w:rsidRPr="00C902C8">
        <w:rPr>
          <w:rFonts w:ascii="Times New Roman" w:hAnsi="Times New Roman" w:cs="Times New Roman"/>
          <w:sz w:val="24"/>
          <w:szCs w:val="24"/>
        </w:rPr>
        <w:t xml:space="preserve"> falls within the period of one year from the original </w:t>
      </w:r>
      <w:proofErr w:type="spellStart"/>
      <w:r w:rsidRPr="00C902C8">
        <w:rPr>
          <w:rFonts w:ascii="Times New Roman" w:hAnsi="Times New Roman" w:cs="Times New Roman"/>
          <w:sz w:val="24"/>
          <w:szCs w:val="24"/>
        </w:rPr>
        <w:t>DCCO</w:t>
      </w:r>
      <w:proofErr w:type="spellEnd"/>
      <w:r w:rsidRPr="00C902C8">
        <w:rPr>
          <w:rFonts w:ascii="Times New Roman" w:hAnsi="Times New Roman" w:cs="Times New Roman"/>
          <w:sz w:val="24"/>
          <w:szCs w:val="24"/>
        </w:rPr>
        <w:t xml:space="preserve"> stipulated at the time of financial closure for </w:t>
      </w:r>
      <w:proofErr w:type="spellStart"/>
      <w:r w:rsidRPr="00C902C8">
        <w:rPr>
          <w:rFonts w:ascii="Times New Roman" w:hAnsi="Times New Roman" w:cs="Times New Roman"/>
          <w:sz w:val="24"/>
          <w:szCs w:val="24"/>
        </w:rPr>
        <w:t>CRE</w:t>
      </w:r>
      <w:proofErr w:type="spellEnd"/>
      <w:r w:rsidRPr="00C902C8">
        <w:rPr>
          <w:rFonts w:ascii="Times New Roman" w:hAnsi="Times New Roman" w:cs="Times New Roman"/>
          <w:sz w:val="24"/>
          <w:szCs w:val="24"/>
        </w:rPr>
        <w:t xml:space="preserve"> projects; and</w:t>
      </w:r>
    </w:p>
    <w:p w14:paraId="429852FE" w14:textId="77777777" w:rsidR="005C5F02" w:rsidRPr="00C902C8" w:rsidRDefault="005C5F02" w:rsidP="005C5F02">
      <w:pPr>
        <w:spacing w:after="0" w:line="240" w:lineRule="auto"/>
        <w:jc w:val="both"/>
        <w:rPr>
          <w:rFonts w:ascii="Times New Roman" w:hAnsi="Times New Roman" w:cs="Times New Roman"/>
          <w:sz w:val="24"/>
          <w:szCs w:val="24"/>
        </w:rPr>
      </w:pPr>
    </w:p>
    <w:p w14:paraId="68B4C379" w14:textId="77777777" w:rsidR="005C5F02" w:rsidRPr="00C902C8" w:rsidRDefault="005C5F02" w:rsidP="005C5F02">
      <w:pPr>
        <w:pStyle w:val="ListParagraph"/>
        <w:numPr>
          <w:ilvl w:val="0"/>
          <w:numId w:val="3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other terms and conditions of the loan remain unchanged.</w:t>
      </w:r>
    </w:p>
    <w:p w14:paraId="79BBEAB2" w14:textId="77777777" w:rsidR="005C5F02" w:rsidRPr="00C902C8" w:rsidRDefault="005C5F02" w:rsidP="005C5F02">
      <w:pPr>
        <w:spacing w:after="0" w:line="240" w:lineRule="auto"/>
        <w:jc w:val="both"/>
        <w:rPr>
          <w:rFonts w:ascii="Times New Roman" w:hAnsi="Times New Roman" w:cs="Times New Roman"/>
          <w:sz w:val="24"/>
          <w:szCs w:val="24"/>
        </w:rPr>
      </w:pPr>
    </w:p>
    <w:p w14:paraId="3927A487"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ii. In case of </w:t>
      </w:r>
      <w:proofErr w:type="spellStart"/>
      <w:r w:rsidRPr="00C902C8">
        <w:rPr>
          <w:rFonts w:ascii="Times New Roman" w:hAnsi="Times New Roman" w:cs="Times New Roman"/>
          <w:sz w:val="24"/>
          <w:szCs w:val="24"/>
        </w:rPr>
        <w:t>CRE</w:t>
      </w:r>
      <w:proofErr w:type="spellEnd"/>
      <w:r w:rsidRPr="00C902C8">
        <w:rPr>
          <w:rFonts w:ascii="Times New Roman" w:hAnsi="Times New Roman" w:cs="Times New Roman"/>
          <w:sz w:val="24"/>
          <w:szCs w:val="24"/>
        </w:rPr>
        <w:t xml:space="preserve"> projects delayed for reasons beyond the control of promoter(s), banks may restructure them by way of revision of </w:t>
      </w:r>
      <w:proofErr w:type="spellStart"/>
      <w:r w:rsidRPr="00C902C8">
        <w:rPr>
          <w:rFonts w:ascii="Times New Roman" w:hAnsi="Times New Roman" w:cs="Times New Roman"/>
          <w:sz w:val="24"/>
          <w:szCs w:val="24"/>
        </w:rPr>
        <w:t>DCCO</w:t>
      </w:r>
      <w:proofErr w:type="spellEnd"/>
      <w:r w:rsidRPr="00C902C8">
        <w:rPr>
          <w:rFonts w:ascii="Times New Roman" w:hAnsi="Times New Roman" w:cs="Times New Roman"/>
          <w:sz w:val="24"/>
          <w:szCs w:val="24"/>
        </w:rPr>
        <w:t xml:space="preserve"> up to another one year (beyond the one-year period quoted at paragraph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xml:space="preserve"> (a) above) and retain the ‘standard’ asset classification if the account continues to be serviced as per the revised terms and conditions under the restructuring.</w:t>
      </w:r>
    </w:p>
    <w:p w14:paraId="40DF9E3E" w14:textId="77777777" w:rsidR="005C5F02" w:rsidRPr="00C902C8" w:rsidRDefault="005C5F02" w:rsidP="005C5F02">
      <w:pPr>
        <w:spacing w:after="0" w:line="240" w:lineRule="auto"/>
        <w:jc w:val="both"/>
        <w:rPr>
          <w:rFonts w:ascii="Times New Roman" w:hAnsi="Times New Roman" w:cs="Times New Roman"/>
          <w:sz w:val="24"/>
          <w:szCs w:val="24"/>
        </w:rPr>
      </w:pPr>
    </w:p>
    <w:p w14:paraId="5DC68A23"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iii. Banks while restructuring such </w:t>
      </w:r>
      <w:proofErr w:type="spellStart"/>
      <w:r w:rsidRPr="00C902C8">
        <w:rPr>
          <w:rFonts w:ascii="Times New Roman" w:hAnsi="Times New Roman" w:cs="Times New Roman"/>
          <w:sz w:val="24"/>
          <w:szCs w:val="24"/>
        </w:rPr>
        <w:t>CRE</w:t>
      </w:r>
      <w:proofErr w:type="spellEnd"/>
      <w:r w:rsidRPr="00C902C8">
        <w:rPr>
          <w:rFonts w:ascii="Times New Roman" w:hAnsi="Times New Roman" w:cs="Times New Roman"/>
          <w:sz w:val="24"/>
          <w:szCs w:val="24"/>
        </w:rPr>
        <w:t xml:space="preserve"> project loans under instructions at (ii) above will have to ensure that the revised repayment schedule is extended only by a period equal to or shorter than the extension in </w:t>
      </w:r>
      <w:proofErr w:type="spellStart"/>
      <w:r w:rsidRPr="00C902C8">
        <w:rPr>
          <w:rFonts w:ascii="Times New Roman" w:hAnsi="Times New Roman" w:cs="Times New Roman"/>
          <w:sz w:val="24"/>
          <w:szCs w:val="24"/>
        </w:rPr>
        <w:t>DCCO</w:t>
      </w:r>
      <w:proofErr w:type="spellEnd"/>
      <w:r w:rsidRPr="00C902C8">
        <w:rPr>
          <w:rFonts w:ascii="Times New Roman" w:hAnsi="Times New Roman" w:cs="Times New Roman"/>
          <w:sz w:val="24"/>
          <w:szCs w:val="24"/>
        </w:rPr>
        <w:t>.</w:t>
      </w:r>
    </w:p>
    <w:p w14:paraId="24AE43D9" w14:textId="77777777" w:rsidR="005C5F02" w:rsidRPr="00C902C8" w:rsidRDefault="005C5F02" w:rsidP="005C5F02">
      <w:pPr>
        <w:spacing w:after="0" w:line="240" w:lineRule="auto"/>
        <w:jc w:val="both"/>
        <w:rPr>
          <w:rFonts w:ascii="Times New Roman" w:hAnsi="Times New Roman" w:cs="Times New Roman"/>
          <w:sz w:val="24"/>
          <w:szCs w:val="24"/>
        </w:rPr>
      </w:pPr>
    </w:p>
    <w:p w14:paraId="4C6D9B39"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iv. Banks may fund cost overruns that arise on account of extension of </w:t>
      </w:r>
      <w:proofErr w:type="spellStart"/>
      <w:r w:rsidRPr="00C902C8">
        <w:rPr>
          <w:rFonts w:ascii="Times New Roman" w:hAnsi="Times New Roman" w:cs="Times New Roman"/>
          <w:sz w:val="24"/>
          <w:szCs w:val="24"/>
        </w:rPr>
        <w:t>DCCO</w:t>
      </w:r>
      <w:proofErr w:type="spellEnd"/>
      <w:r w:rsidRPr="00C902C8">
        <w:rPr>
          <w:rFonts w:ascii="Times New Roman" w:hAnsi="Times New Roman" w:cs="Times New Roman"/>
          <w:sz w:val="24"/>
          <w:szCs w:val="24"/>
        </w:rPr>
        <w:t xml:space="preserve"> (within the limits at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xml:space="preserve">) and (ii) above), subject to the instructions issued vide circular </w:t>
      </w:r>
      <w:proofErr w:type="spellStart"/>
      <w:r w:rsidRPr="00C902C8">
        <w:rPr>
          <w:rFonts w:ascii="Times New Roman" w:hAnsi="Times New Roman" w:cs="Times New Roman"/>
          <w:sz w:val="24"/>
          <w:szCs w:val="24"/>
        </w:rPr>
        <w:t>DBOD.No.BP.BC.33</w:t>
      </w:r>
      <w:proofErr w:type="spellEnd"/>
      <w:r w:rsidRPr="00C902C8">
        <w:rPr>
          <w:rFonts w:ascii="Times New Roman" w:hAnsi="Times New Roman" w:cs="Times New Roman"/>
          <w:sz w:val="24"/>
          <w:szCs w:val="24"/>
        </w:rPr>
        <w:t>/21.04.048/2014-15 dated August 14, 2014 and the mailbox clarification dated April 20, 2016.</w:t>
      </w:r>
    </w:p>
    <w:p w14:paraId="23E8A6CF" w14:textId="77777777" w:rsidR="005C5F02" w:rsidRPr="00C902C8" w:rsidRDefault="005C5F02" w:rsidP="005C5F02">
      <w:pPr>
        <w:spacing w:after="0" w:line="240" w:lineRule="auto"/>
        <w:jc w:val="both"/>
        <w:rPr>
          <w:rFonts w:ascii="Times New Roman" w:hAnsi="Times New Roman" w:cs="Times New Roman"/>
          <w:sz w:val="24"/>
          <w:szCs w:val="24"/>
        </w:rPr>
      </w:pPr>
    </w:p>
    <w:p w14:paraId="2F542985"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v. It is re-iterated that a loan for a project may be classified as </w:t>
      </w:r>
      <w:proofErr w:type="spellStart"/>
      <w:r w:rsidRPr="00C902C8">
        <w:rPr>
          <w:rFonts w:ascii="Times New Roman" w:hAnsi="Times New Roman" w:cs="Times New Roman"/>
          <w:sz w:val="24"/>
          <w:szCs w:val="24"/>
        </w:rPr>
        <w:t>NPA</w:t>
      </w:r>
      <w:proofErr w:type="spellEnd"/>
      <w:r w:rsidRPr="00C902C8">
        <w:rPr>
          <w:rFonts w:ascii="Times New Roman" w:hAnsi="Times New Roman" w:cs="Times New Roman"/>
          <w:sz w:val="24"/>
          <w:szCs w:val="24"/>
        </w:rPr>
        <w:t xml:space="preserve"> during any time before commencement of commercial operations as per record of recovery (90 days overdue). It is further re-iterated that the dispensation at (ii) above is subject to the condition that the application for restructuring should be received before the expiry of period mentioned at paragraph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(a) above and when the account is still standard as per record of recovery.</w:t>
      </w:r>
    </w:p>
    <w:p w14:paraId="4AC99062" w14:textId="77777777" w:rsidR="005C5F02" w:rsidRPr="00C902C8" w:rsidRDefault="005C5F02" w:rsidP="005C5F02">
      <w:pPr>
        <w:spacing w:after="0" w:line="240" w:lineRule="auto"/>
        <w:jc w:val="both"/>
        <w:rPr>
          <w:rFonts w:ascii="Times New Roman" w:hAnsi="Times New Roman" w:cs="Times New Roman"/>
          <w:sz w:val="24"/>
          <w:szCs w:val="24"/>
        </w:rPr>
      </w:pPr>
    </w:p>
    <w:p w14:paraId="31B4DADE"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vi. At the time of extending </w:t>
      </w:r>
      <w:proofErr w:type="spellStart"/>
      <w:r w:rsidRPr="00C902C8">
        <w:rPr>
          <w:rFonts w:ascii="Times New Roman" w:hAnsi="Times New Roman" w:cs="Times New Roman"/>
          <w:sz w:val="24"/>
          <w:szCs w:val="24"/>
        </w:rPr>
        <w:t>DCCO</w:t>
      </w:r>
      <w:proofErr w:type="spellEnd"/>
      <w:r w:rsidRPr="00C902C8">
        <w:rPr>
          <w:rFonts w:ascii="Times New Roman" w:hAnsi="Times New Roman" w:cs="Times New Roman"/>
          <w:sz w:val="24"/>
          <w:szCs w:val="24"/>
        </w:rPr>
        <w:t>, Boards of banks should satisfy themselves about the viability of the project and the restructuring plan.</w:t>
      </w:r>
    </w:p>
    <w:p w14:paraId="023D3345" w14:textId="77777777" w:rsidR="005C5F02" w:rsidRPr="00C902C8" w:rsidRDefault="005C5F02" w:rsidP="005C5F02">
      <w:pPr>
        <w:spacing w:after="0" w:line="240" w:lineRule="auto"/>
        <w:jc w:val="both"/>
        <w:rPr>
          <w:rFonts w:ascii="Times New Roman" w:hAnsi="Times New Roman" w:cs="Times New Roman"/>
          <w:sz w:val="24"/>
          <w:szCs w:val="24"/>
        </w:rPr>
      </w:pPr>
    </w:p>
    <w:p w14:paraId="00E48F86"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vii. All other aspects related to restructuring, income recognition, asset classification, provisioning as applicable for projects under implementation shall continue to apply.</w:t>
      </w:r>
    </w:p>
    <w:p w14:paraId="5B62B6A9" w14:textId="77777777" w:rsidR="005C5F02" w:rsidRPr="00C902C8" w:rsidRDefault="005C5F02" w:rsidP="005C5F02">
      <w:pPr>
        <w:spacing w:after="0" w:line="240" w:lineRule="auto"/>
        <w:jc w:val="both"/>
        <w:rPr>
          <w:rFonts w:ascii="Times New Roman" w:hAnsi="Times New Roman" w:cs="Times New Roman"/>
          <w:sz w:val="24"/>
          <w:szCs w:val="24"/>
        </w:rPr>
      </w:pPr>
    </w:p>
    <w:p w14:paraId="75065DF5"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viii. Banks shall ensure that all provisions of the Real Estate (Regulation and Development) Act, 2016 are complied with.</w:t>
      </w:r>
    </w:p>
    <w:p w14:paraId="104F74AC" w14:textId="77777777" w:rsidR="005C5F02" w:rsidRPr="00C902C8" w:rsidRDefault="005C5F02" w:rsidP="005C5F02">
      <w:pPr>
        <w:spacing w:after="0" w:line="240" w:lineRule="auto"/>
        <w:jc w:val="both"/>
        <w:rPr>
          <w:rFonts w:ascii="Times New Roman" w:hAnsi="Times New Roman" w:cs="Times New Roman"/>
          <w:sz w:val="24"/>
          <w:szCs w:val="24"/>
        </w:rPr>
      </w:pPr>
    </w:p>
    <w:p w14:paraId="533B96EA"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The project loans to </w:t>
      </w:r>
      <w:proofErr w:type="spellStart"/>
      <w:r w:rsidRPr="00C902C8">
        <w:rPr>
          <w:rFonts w:ascii="Times New Roman" w:hAnsi="Times New Roman" w:cs="Times New Roman"/>
          <w:sz w:val="24"/>
          <w:szCs w:val="24"/>
        </w:rPr>
        <w:t>CRE</w:t>
      </w:r>
      <w:proofErr w:type="spellEnd"/>
      <w:r w:rsidRPr="00C902C8">
        <w:rPr>
          <w:rFonts w:ascii="Times New Roman" w:hAnsi="Times New Roman" w:cs="Times New Roman"/>
          <w:sz w:val="24"/>
          <w:szCs w:val="24"/>
        </w:rPr>
        <w:t xml:space="preserve"> sector shall be identified on the basis of instructions issued vide circulars </w:t>
      </w:r>
      <w:proofErr w:type="spellStart"/>
      <w:r w:rsidRPr="00C902C8">
        <w:rPr>
          <w:rFonts w:ascii="Times New Roman" w:hAnsi="Times New Roman" w:cs="Times New Roman"/>
          <w:sz w:val="24"/>
          <w:szCs w:val="24"/>
        </w:rPr>
        <w:t>DBOD.BP.BC.No.42</w:t>
      </w:r>
      <w:proofErr w:type="spellEnd"/>
      <w:r w:rsidRPr="00C902C8">
        <w:rPr>
          <w:rFonts w:ascii="Times New Roman" w:hAnsi="Times New Roman" w:cs="Times New Roman"/>
          <w:sz w:val="24"/>
          <w:szCs w:val="24"/>
        </w:rPr>
        <w:t xml:space="preserve">/08.12.015/2009-10 dated September 9, 2009 and </w:t>
      </w:r>
      <w:proofErr w:type="spellStart"/>
      <w:r w:rsidRPr="00C902C8">
        <w:rPr>
          <w:rFonts w:ascii="Times New Roman" w:hAnsi="Times New Roman" w:cs="Times New Roman"/>
          <w:sz w:val="24"/>
          <w:szCs w:val="24"/>
        </w:rPr>
        <w:t>DBOD.BP.BC</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No.104</w:t>
      </w:r>
      <w:proofErr w:type="spellEnd"/>
      <w:r w:rsidRPr="00C902C8">
        <w:rPr>
          <w:rFonts w:ascii="Times New Roman" w:hAnsi="Times New Roman" w:cs="Times New Roman"/>
          <w:sz w:val="24"/>
          <w:szCs w:val="24"/>
        </w:rPr>
        <w:t>/08.12.015/2012-13 dated June 21, 2013.</w:t>
      </w:r>
    </w:p>
    <w:p w14:paraId="30198432" w14:textId="77777777" w:rsidR="005C5F02" w:rsidRPr="00C902C8" w:rsidRDefault="005C5F02" w:rsidP="005C5F02">
      <w:pPr>
        <w:pBdr>
          <w:bottom w:val="single" w:sz="12" w:space="1" w:color="auto"/>
        </w:pBdr>
        <w:spacing w:after="0" w:line="240" w:lineRule="auto"/>
        <w:jc w:val="both"/>
        <w:rPr>
          <w:rFonts w:ascii="Times New Roman" w:hAnsi="Times New Roman" w:cs="Times New Roman"/>
          <w:sz w:val="24"/>
          <w:szCs w:val="24"/>
        </w:rPr>
      </w:pPr>
    </w:p>
    <w:p w14:paraId="5DF14F4C" w14:textId="77777777" w:rsidR="005C5F02" w:rsidRPr="00C902C8" w:rsidRDefault="005C5F02" w:rsidP="005C5F02">
      <w:pPr>
        <w:spacing w:after="0" w:line="240" w:lineRule="auto"/>
        <w:jc w:val="both"/>
        <w:rPr>
          <w:rFonts w:ascii="Times New Roman" w:hAnsi="Times New Roman" w:cs="Times New Roman"/>
          <w:sz w:val="24"/>
          <w:szCs w:val="24"/>
        </w:rPr>
      </w:pPr>
    </w:p>
    <w:p w14:paraId="242CC6C1" w14:textId="77777777" w:rsidR="005C5F02" w:rsidRDefault="005C5F02" w:rsidP="005C5F02">
      <w:pPr>
        <w:spacing w:after="0" w:line="240" w:lineRule="auto"/>
        <w:jc w:val="both"/>
        <w:rPr>
          <w:rFonts w:ascii="Times New Roman" w:hAnsi="Times New Roman" w:cs="Times New Roman"/>
          <w:b/>
          <w:bCs/>
          <w:sz w:val="24"/>
          <w:szCs w:val="24"/>
        </w:rPr>
      </w:pPr>
    </w:p>
    <w:p w14:paraId="1CDF175B" w14:textId="77777777" w:rsidR="00AE747B" w:rsidRDefault="00AE747B" w:rsidP="005C5F02">
      <w:pPr>
        <w:spacing w:after="0" w:line="240" w:lineRule="auto"/>
        <w:jc w:val="both"/>
        <w:rPr>
          <w:rFonts w:ascii="Times New Roman" w:hAnsi="Times New Roman" w:cs="Times New Roman"/>
          <w:b/>
          <w:bCs/>
          <w:sz w:val="24"/>
          <w:szCs w:val="24"/>
        </w:rPr>
      </w:pPr>
    </w:p>
    <w:p w14:paraId="649096E4" w14:textId="77777777" w:rsidR="00AE747B" w:rsidRDefault="00AE747B" w:rsidP="005C5F02">
      <w:pPr>
        <w:spacing w:after="0" w:line="240" w:lineRule="auto"/>
        <w:jc w:val="both"/>
        <w:rPr>
          <w:rFonts w:ascii="Times New Roman" w:hAnsi="Times New Roman" w:cs="Times New Roman"/>
          <w:b/>
          <w:bCs/>
          <w:sz w:val="24"/>
          <w:szCs w:val="24"/>
        </w:rPr>
      </w:pPr>
    </w:p>
    <w:p w14:paraId="19101281" w14:textId="77777777" w:rsidR="00AE747B" w:rsidRDefault="00AE747B" w:rsidP="005C5F02">
      <w:pPr>
        <w:spacing w:after="0" w:line="240" w:lineRule="auto"/>
        <w:jc w:val="both"/>
        <w:rPr>
          <w:rFonts w:ascii="Times New Roman" w:hAnsi="Times New Roman" w:cs="Times New Roman"/>
          <w:b/>
          <w:bCs/>
          <w:sz w:val="24"/>
          <w:szCs w:val="24"/>
        </w:rPr>
      </w:pPr>
    </w:p>
    <w:p w14:paraId="32222AC4" w14:textId="77777777" w:rsidR="00AE747B" w:rsidRDefault="00AE747B" w:rsidP="005C5F02">
      <w:pPr>
        <w:spacing w:after="0" w:line="240" w:lineRule="auto"/>
        <w:jc w:val="both"/>
        <w:rPr>
          <w:rFonts w:ascii="Times New Roman" w:hAnsi="Times New Roman" w:cs="Times New Roman"/>
          <w:b/>
          <w:bCs/>
          <w:sz w:val="24"/>
          <w:szCs w:val="24"/>
        </w:rPr>
      </w:pPr>
    </w:p>
    <w:p w14:paraId="297F48DE" w14:textId="77777777" w:rsidR="00AE747B" w:rsidRDefault="00AE747B" w:rsidP="005C5F02">
      <w:pPr>
        <w:spacing w:after="0" w:line="240" w:lineRule="auto"/>
        <w:jc w:val="both"/>
        <w:rPr>
          <w:rFonts w:ascii="Times New Roman" w:hAnsi="Times New Roman" w:cs="Times New Roman"/>
          <w:b/>
          <w:bCs/>
          <w:sz w:val="24"/>
          <w:szCs w:val="24"/>
        </w:rPr>
      </w:pPr>
    </w:p>
    <w:p w14:paraId="175AE75F" w14:textId="77777777" w:rsidR="00AE747B" w:rsidRDefault="00AE747B" w:rsidP="005C5F02">
      <w:pPr>
        <w:spacing w:after="0" w:line="240" w:lineRule="auto"/>
        <w:jc w:val="both"/>
        <w:rPr>
          <w:rFonts w:ascii="Times New Roman" w:hAnsi="Times New Roman" w:cs="Times New Roman"/>
          <w:b/>
          <w:bCs/>
          <w:sz w:val="24"/>
          <w:szCs w:val="24"/>
        </w:rPr>
      </w:pPr>
    </w:p>
    <w:p w14:paraId="64D18DE3" w14:textId="131B3F5F" w:rsidR="005C5F02"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Large Exposures Framework</w:t>
      </w:r>
    </w:p>
    <w:p w14:paraId="563D2B02" w14:textId="77777777" w:rsidR="005C5F02" w:rsidRPr="00C902C8" w:rsidRDefault="005C5F02" w:rsidP="005C5F02">
      <w:pPr>
        <w:spacing w:after="0" w:line="240" w:lineRule="auto"/>
        <w:jc w:val="both"/>
        <w:rPr>
          <w:rFonts w:ascii="Times New Roman" w:hAnsi="Times New Roman" w:cs="Times New Roman"/>
          <w:b/>
          <w:bCs/>
          <w:sz w:val="24"/>
          <w:szCs w:val="24"/>
        </w:rPr>
      </w:pPr>
    </w:p>
    <w:p w14:paraId="03A7DB00"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RBI/2019-20/178 </w:t>
      </w:r>
      <w:proofErr w:type="spellStart"/>
      <w:r w:rsidRPr="00C902C8">
        <w:rPr>
          <w:rFonts w:ascii="Times New Roman" w:hAnsi="Times New Roman" w:cs="Times New Roman"/>
          <w:sz w:val="24"/>
          <w:szCs w:val="24"/>
        </w:rPr>
        <w:t>DOR.No.BP.BC.43</w:t>
      </w:r>
      <w:proofErr w:type="spellEnd"/>
      <w:r w:rsidRPr="00C902C8">
        <w:rPr>
          <w:rFonts w:ascii="Times New Roman" w:hAnsi="Times New Roman" w:cs="Times New Roman"/>
          <w:sz w:val="24"/>
          <w:szCs w:val="24"/>
        </w:rPr>
        <w:t xml:space="preserve"> /21.01.003/2019-20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23, 2020</w:t>
      </w:r>
    </w:p>
    <w:p w14:paraId="5989385C" w14:textId="77777777" w:rsidR="005C5F02" w:rsidRPr="00C902C8" w:rsidRDefault="005C5F02" w:rsidP="005C5F02">
      <w:pPr>
        <w:spacing w:after="0" w:line="240" w:lineRule="auto"/>
        <w:jc w:val="both"/>
        <w:rPr>
          <w:rFonts w:ascii="Times New Roman" w:hAnsi="Times New Roman" w:cs="Times New Roman"/>
          <w:sz w:val="24"/>
          <w:szCs w:val="24"/>
        </w:rPr>
      </w:pPr>
    </w:p>
    <w:p w14:paraId="00440575"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Regional Rural Banks)</w:t>
      </w:r>
    </w:p>
    <w:p w14:paraId="4C91F96C" w14:textId="77777777" w:rsidR="005C5F02" w:rsidRPr="00C902C8" w:rsidRDefault="005C5F02" w:rsidP="005C5F02">
      <w:pPr>
        <w:spacing w:after="0" w:line="240" w:lineRule="auto"/>
        <w:jc w:val="both"/>
        <w:rPr>
          <w:rFonts w:ascii="Times New Roman" w:hAnsi="Times New Roman" w:cs="Times New Roman"/>
          <w:sz w:val="24"/>
          <w:szCs w:val="24"/>
        </w:rPr>
      </w:pPr>
    </w:p>
    <w:p w14:paraId="171A8C9D"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our circular </w:t>
      </w:r>
      <w:proofErr w:type="spellStart"/>
      <w:r w:rsidRPr="00C902C8">
        <w:rPr>
          <w:rFonts w:ascii="Times New Roman" w:hAnsi="Times New Roman" w:cs="Times New Roman"/>
          <w:sz w:val="24"/>
          <w:szCs w:val="24"/>
        </w:rPr>
        <w:t>No.DBR.No.BP.BC.43</w:t>
      </w:r>
      <w:proofErr w:type="spellEnd"/>
      <w:r w:rsidRPr="00C902C8">
        <w:rPr>
          <w:rFonts w:ascii="Times New Roman" w:hAnsi="Times New Roman" w:cs="Times New Roman"/>
          <w:sz w:val="24"/>
          <w:szCs w:val="24"/>
        </w:rPr>
        <w:t>/21.01.003/2018-19 dated June 03, 2019 on the captioned subject.</w:t>
      </w:r>
    </w:p>
    <w:p w14:paraId="709125DE" w14:textId="77777777" w:rsidR="005C5F02" w:rsidRPr="00C902C8" w:rsidRDefault="005C5F02" w:rsidP="005C5F02">
      <w:pPr>
        <w:spacing w:after="0" w:line="240" w:lineRule="auto"/>
        <w:jc w:val="both"/>
        <w:rPr>
          <w:rFonts w:ascii="Times New Roman" w:hAnsi="Times New Roman" w:cs="Times New Roman"/>
          <w:sz w:val="24"/>
          <w:szCs w:val="24"/>
        </w:rPr>
      </w:pPr>
    </w:p>
    <w:p w14:paraId="0B66B6C1"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terms of para 7.13 of the circular, any Credit Risk Mitigation (CRM) instrument (e.g. </w:t>
      </w:r>
      <w:proofErr w:type="spellStart"/>
      <w:r w:rsidRPr="00C902C8">
        <w:rPr>
          <w:rFonts w:ascii="Times New Roman" w:hAnsi="Times New Roman" w:cs="Times New Roman"/>
          <w:sz w:val="24"/>
          <w:szCs w:val="24"/>
        </w:rPr>
        <w:t>SBLC</w:t>
      </w:r>
      <w:proofErr w:type="spellEnd"/>
      <w:r w:rsidRPr="00C902C8">
        <w:rPr>
          <w:rFonts w:ascii="Times New Roman" w:hAnsi="Times New Roman" w:cs="Times New Roman"/>
          <w:sz w:val="24"/>
          <w:szCs w:val="24"/>
        </w:rPr>
        <w:t>/BG from Head Office/other overseas branch) from which CRM benefits like shifting of exposure/ risk weights etc. are not derived, may not be counted as an exposure on the CRM provider.</w:t>
      </w:r>
    </w:p>
    <w:p w14:paraId="7E7DBC63" w14:textId="77777777" w:rsidR="005C5F02" w:rsidRPr="00C902C8" w:rsidRDefault="005C5F02" w:rsidP="005C5F02">
      <w:pPr>
        <w:spacing w:after="0" w:line="240" w:lineRule="auto"/>
        <w:jc w:val="both"/>
        <w:rPr>
          <w:rFonts w:ascii="Times New Roman" w:hAnsi="Times New Roman" w:cs="Times New Roman"/>
          <w:sz w:val="24"/>
          <w:szCs w:val="24"/>
        </w:rPr>
      </w:pPr>
    </w:p>
    <w:p w14:paraId="38B11D99"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Banks have sought clarity on whether the above-mentioned guidelines will apply to exposures to a person resident outside India also. In this connection, it is clarified that the above clause will also apply to non-fund based credit facilities provided to a person resident outside India </w:t>
      </w:r>
      <w:proofErr w:type="spellStart"/>
      <w:r w:rsidRPr="00C902C8">
        <w:rPr>
          <w:rFonts w:ascii="Times New Roman" w:hAnsi="Times New Roman" w:cs="Times New Roman"/>
          <w:sz w:val="24"/>
          <w:szCs w:val="24"/>
        </w:rPr>
        <w:t>ie</w:t>
      </w:r>
      <w:proofErr w:type="spellEnd"/>
      <w:r w:rsidRPr="00C902C8">
        <w:rPr>
          <w:rFonts w:ascii="Times New Roman" w:hAnsi="Times New Roman" w:cs="Times New Roman"/>
          <w:sz w:val="24"/>
          <w:szCs w:val="24"/>
        </w:rPr>
        <w:t>., the exposure can be reckoned on the person resident outside India instead of treating it as an exposure on Head Office/ other overseas branch, provided the transaction is otherwise compliant with Foreign Exchange Management (Guarantees) Regulations, 2000 (FEMA 8).</w:t>
      </w:r>
    </w:p>
    <w:p w14:paraId="7DC94554" w14:textId="77777777" w:rsidR="005C5F02" w:rsidRPr="00C902C8" w:rsidRDefault="005C5F02" w:rsidP="005C5F02">
      <w:pPr>
        <w:spacing w:after="0" w:line="240" w:lineRule="auto"/>
        <w:jc w:val="both"/>
        <w:rPr>
          <w:rFonts w:ascii="Times New Roman" w:hAnsi="Times New Roman" w:cs="Times New Roman"/>
          <w:sz w:val="24"/>
          <w:szCs w:val="24"/>
        </w:rPr>
      </w:pPr>
    </w:p>
    <w:p w14:paraId="2D75A40C"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exposures thus shifted to a person resident outside India, will attract a minimum risk weight of 150%.</w:t>
      </w:r>
    </w:p>
    <w:p w14:paraId="15233601" w14:textId="77777777" w:rsidR="005C5F02" w:rsidRPr="00C902C8" w:rsidRDefault="005C5F02" w:rsidP="005C5F02">
      <w:pPr>
        <w:spacing w:after="0" w:line="240" w:lineRule="auto"/>
        <w:jc w:val="both"/>
        <w:rPr>
          <w:rFonts w:ascii="Times New Roman" w:hAnsi="Times New Roman" w:cs="Times New Roman"/>
          <w:sz w:val="24"/>
          <w:szCs w:val="24"/>
        </w:rPr>
      </w:pPr>
    </w:p>
    <w:p w14:paraId="02DB8F72"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It has been decided that non-centrally cleared derivatives exposures will be outside the purview of exposure limits till April 01, 2021.</w:t>
      </w:r>
    </w:p>
    <w:p w14:paraId="3C1ABC0A" w14:textId="77777777" w:rsidR="005C5F02" w:rsidRPr="00C902C8" w:rsidRDefault="005C5F02" w:rsidP="005C5F02">
      <w:pPr>
        <w:pBdr>
          <w:bottom w:val="single" w:sz="12" w:space="1" w:color="auto"/>
        </w:pBdr>
        <w:spacing w:after="0" w:line="240" w:lineRule="auto"/>
        <w:jc w:val="both"/>
        <w:rPr>
          <w:rFonts w:ascii="Times New Roman" w:hAnsi="Times New Roman" w:cs="Times New Roman"/>
          <w:sz w:val="24"/>
          <w:szCs w:val="24"/>
        </w:rPr>
      </w:pPr>
    </w:p>
    <w:p w14:paraId="68ACAB3E" w14:textId="77777777" w:rsidR="005C5F02" w:rsidRPr="00C902C8" w:rsidRDefault="005C5F02" w:rsidP="005C5F02">
      <w:pPr>
        <w:spacing w:after="0" w:line="240" w:lineRule="auto"/>
        <w:jc w:val="both"/>
        <w:rPr>
          <w:rFonts w:ascii="Times New Roman" w:hAnsi="Times New Roman" w:cs="Times New Roman"/>
          <w:sz w:val="24"/>
          <w:szCs w:val="24"/>
        </w:rPr>
      </w:pPr>
    </w:p>
    <w:p w14:paraId="30C4F870" w14:textId="77777777" w:rsidR="005C5F02" w:rsidRDefault="005C5F02" w:rsidP="005C5F02">
      <w:pPr>
        <w:shd w:val="clear" w:color="auto" w:fill="FFFFFF"/>
        <w:spacing w:after="0" w:line="240" w:lineRule="auto"/>
        <w:jc w:val="both"/>
        <w:rPr>
          <w:rFonts w:ascii="Times New Roman" w:eastAsia="Times New Roman" w:hAnsi="Times New Roman" w:cs="Times New Roman"/>
          <w:b/>
          <w:bCs/>
          <w:color w:val="000000"/>
          <w:sz w:val="24"/>
          <w:szCs w:val="24"/>
          <w:lang w:eastAsia="en-IN"/>
        </w:rPr>
      </w:pPr>
      <w:bookmarkStart w:id="1" w:name="_Hlk43631866"/>
    </w:p>
    <w:p w14:paraId="0F7BA2DA"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COVID-19 – Regulatory Package (Revised)</w:t>
      </w:r>
      <w:r>
        <w:rPr>
          <w:rFonts w:ascii="Times New Roman" w:eastAsia="Times New Roman" w:hAnsi="Times New Roman" w:cs="Times New Roman"/>
          <w:b/>
          <w:bCs/>
          <w:color w:val="000000"/>
          <w:sz w:val="24"/>
          <w:szCs w:val="24"/>
          <w:lang w:eastAsia="en-IN"/>
        </w:rPr>
        <w:t>.</w:t>
      </w:r>
    </w:p>
    <w:p w14:paraId="407C80C7" w14:textId="77777777" w:rsidR="00AE747B" w:rsidRDefault="00AE747B"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5234796" w14:textId="156AE269"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RBI/2019-20/186 </w:t>
      </w:r>
      <w:proofErr w:type="spellStart"/>
      <w:r w:rsidRPr="00C902C8">
        <w:rPr>
          <w:rFonts w:ascii="Times New Roman" w:eastAsia="Times New Roman" w:hAnsi="Times New Roman" w:cs="Times New Roman"/>
          <w:color w:val="000000"/>
          <w:sz w:val="24"/>
          <w:szCs w:val="24"/>
          <w:lang w:eastAsia="en-IN"/>
        </w:rPr>
        <w:t>DOR.No.BP.BC.47</w:t>
      </w:r>
      <w:proofErr w:type="spellEnd"/>
      <w:r w:rsidRPr="00C902C8">
        <w:rPr>
          <w:rFonts w:ascii="Times New Roman" w:eastAsia="Times New Roman" w:hAnsi="Times New Roman" w:cs="Times New Roman"/>
          <w:color w:val="000000"/>
          <w:sz w:val="24"/>
          <w:szCs w:val="24"/>
          <w:lang w:eastAsia="en-IN"/>
        </w:rPr>
        <w:t xml:space="preserve">/21.04.048/2019-20 </w:t>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t>March 27, 2020</w:t>
      </w:r>
    </w:p>
    <w:p w14:paraId="057DF66D"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C63582A"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1A3A0F50"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06A318D"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Please refer to the Statement of Development and Regulatory Policies released on March 27, 2020 where inter alia certain regulatory measures were announced to mitigate the burden of debt servicing brought about by disruptions on account of COVID-19 pandemic and to ensure the continuity of viable businesses. In this regard, the detailed instructions are as follows:</w:t>
      </w:r>
    </w:p>
    <w:p w14:paraId="44FBBE9F"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8CCAFC8"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w:t>
      </w:r>
      <w:proofErr w:type="spellStart"/>
      <w:r w:rsidRPr="00C902C8">
        <w:rPr>
          <w:rFonts w:ascii="Times New Roman" w:eastAsia="Times New Roman" w:hAnsi="Times New Roman" w:cs="Times New Roman"/>
          <w:b/>
          <w:bCs/>
          <w:color w:val="000000"/>
          <w:sz w:val="24"/>
          <w:szCs w:val="24"/>
          <w:lang w:eastAsia="en-IN"/>
        </w:rPr>
        <w:t>i</w:t>
      </w:r>
      <w:proofErr w:type="spellEnd"/>
      <w:r w:rsidRPr="00C902C8">
        <w:rPr>
          <w:rFonts w:ascii="Times New Roman" w:eastAsia="Times New Roman" w:hAnsi="Times New Roman" w:cs="Times New Roman"/>
          <w:b/>
          <w:bCs/>
          <w:color w:val="000000"/>
          <w:sz w:val="24"/>
          <w:szCs w:val="24"/>
          <w:lang w:eastAsia="en-IN"/>
        </w:rPr>
        <w:t>) Rescheduling of Payments – Term Loans and Working Capital Facilities</w:t>
      </w:r>
    </w:p>
    <w:p w14:paraId="2F805337"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9052A5D"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2. In respect of all term loans (including agricultural term loans, retail and crop loans), all commercial banks (including regional rural banks, small finance banks and local area banks), co-operative banks, all-India Financial Institutions, and </w:t>
      </w:r>
      <w:proofErr w:type="spellStart"/>
      <w:r w:rsidRPr="00C902C8">
        <w:rPr>
          <w:rFonts w:ascii="Times New Roman" w:eastAsia="Times New Roman" w:hAnsi="Times New Roman" w:cs="Times New Roman"/>
          <w:color w:val="000000"/>
          <w:sz w:val="24"/>
          <w:szCs w:val="24"/>
          <w:lang w:eastAsia="en-IN"/>
        </w:rPr>
        <w:t>NBFCs</w:t>
      </w:r>
      <w:proofErr w:type="spellEnd"/>
      <w:r w:rsidRPr="00C902C8">
        <w:rPr>
          <w:rFonts w:ascii="Times New Roman" w:eastAsia="Times New Roman" w:hAnsi="Times New Roman" w:cs="Times New Roman"/>
          <w:color w:val="000000"/>
          <w:sz w:val="24"/>
          <w:szCs w:val="24"/>
          <w:lang w:eastAsia="en-IN"/>
        </w:rPr>
        <w:t xml:space="preserve"> (including housing finance companies) (“lending institutions”) are permitted to grant a moratorium of three months on payment of all </w:t>
      </w:r>
      <w:proofErr w:type="spellStart"/>
      <w:r w:rsidRPr="00C902C8">
        <w:rPr>
          <w:rFonts w:ascii="Times New Roman" w:eastAsia="Times New Roman" w:hAnsi="Times New Roman" w:cs="Times New Roman"/>
          <w:color w:val="000000"/>
          <w:sz w:val="24"/>
          <w:szCs w:val="24"/>
          <w:lang w:eastAsia="en-IN"/>
        </w:rPr>
        <w:t>instalments1</w:t>
      </w:r>
      <w:proofErr w:type="spellEnd"/>
      <w:r w:rsidRPr="00C902C8">
        <w:rPr>
          <w:rFonts w:ascii="Times New Roman" w:eastAsia="Times New Roman" w:hAnsi="Times New Roman" w:cs="Times New Roman"/>
          <w:color w:val="000000"/>
          <w:sz w:val="24"/>
          <w:szCs w:val="24"/>
          <w:lang w:eastAsia="en-IN"/>
        </w:rPr>
        <w:t xml:space="preserve"> falling due between March 1, 2020 and May 31, 2020. The </w:t>
      </w:r>
      <w:r w:rsidRPr="00C902C8">
        <w:rPr>
          <w:rFonts w:ascii="Times New Roman" w:eastAsia="Times New Roman" w:hAnsi="Times New Roman" w:cs="Times New Roman"/>
          <w:color w:val="000000"/>
          <w:sz w:val="24"/>
          <w:szCs w:val="24"/>
          <w:lang w:eastAsia="en-IN"/>
        </w:rPr>
        <w:lastRenderedPageBreak/>
        <w:t>repayment schedule for such loans as also the residual tenor, will be shifted across the board by three months after the moratorium period. Interest shall continue to accrue on the outstanding portion of the term loans during the moratorium period.</w:t>
      </w:r>
    </w:p>
    <w:p w14:paraId="06371345"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9EAFD9C"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3. In respect of working capital facilities sanctioned in the form of cash credit/overdraft (“CC/OD”), lending institutions are permitted to defer the recovery of interest applied in respect of all such facilities during the period from March 1, 2020 </w:t>
      </w:r>
      <w:proofErr w:type="spellStart"/>
      <w:r w:rsidRPr="00C902C8">
        <w:rPr>
          <w:rFonts w:ascii="Times New Roman" w:eastAsia="Times New Roman" w:hAnsi="Times New Roman" w:cs="Times New Roman"/>
          <w:color w:val="000000"/>
          <w:sz w:val="24"/>
          <w:szCs w:val="24"/>
          <w:lang w:eastAsia="en-IN"/>
        </w:rPr>
        <w:t>upto</w:t>
      </w:r>
      <w:proofErr w:type="spellEnd"/>
      <w:r w:rsidRPr="00C902C8">
        <w:rPr>
          <w:rFonts w:ascii="Times New Roman" w:eastAsia="Times New Roman" w:hAnsi="Times New Roman" w:cs="Times New Roman"/>
          <w:color w:val="000000"/>
          <w:sz w:val="24"/>
          <w:szCs w:val="24"/>
          <w:lang w:eastAsia="en-IN"/>
        </w:rPr>
        <w:t xml:space="preserve"> May 31, 2020 (“deferment”). The accumulated accrued interest shall be recovered immediately after the completion of this period.</w:t>
      </w:r>
    </w:p>
    <w:p w14:paraId="170FFE59"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B9D6A68"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(ii) Easing of Working Capital Financing</w:t>
      </w:r>
    </w:p>
    <w:p w14:paraId="4107FBF6"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A59E096"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4. In respect of working capital facilities sanctioned in the form of CC/OD to borrowers facing stress on account of the economic fallout of the pandemic, lending institutions may recalculate the ‘drawing power’ by reducing the margins and/or by reassessing the working capital cycle. This relief shall be available in respect of all such changes effected up to May 31, 2020 and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1509BAA1"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14967B0"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Classification as Special Mention Account (</w:t>
      </w:r>
      <w:proofErr w:type="spellStart"/>
      <w:r w:rsidRPr="00C902C8">
        <w:rPr>
          <w:rFonts w:ascii="Times New Roman" w:eastAsia="Times New Roman" w:hAnsi="Times New Roman" w:cs="Times New Roman"/>
          <w:b/>
          <w:bCs/>
          <w:color w:val="000000"/>
          <w:sz w:val="24"/>
          <w:szCs w:val="24"/>
          <w:lang w:eastAsia="en-IN"/>
        </w:rPr>
        <w:t>SMA</w:t>
      </w:r>
      <w:proofErr w:type="spellEnd"/>
      <w:r w:rsidRPr="00C902C8">
        <w:rPr>
          <w:rFonts w:ascii="Times New Roman" w:eastAsia="Times New Roman" w:hAnsi="Times New Roman" w:cs="Times New Roman"/>
          <w:b/>
          <w:bCs/>
          <w:color w:val="000000"/>
          <w:sz w:val="24"/>
          <w:szCs w:val="24"/>
          <w:lang w:eastAsia="en-IN"/>
        </w:rPr>
        <w:t>) and Non-Performing Asset (</w:t>
      </w:r>
      <w:proofErr w:type="spellStart"/>
      <w:r w:rsidRPr="00C902C8">
        <w:rPr>
          <w:rFonts w:ascii="Times New Roman" w:eastAsia="Times New Roman" w:hAnsi="Times New Roman" w:cs="Times New Roman"/>
          <w:b/>
          <w:bCs/>
          <w:color w:val="000000"/>
          <w:sz w:val="24"/>
          <w:szCs w:val="24"/>
          <w:lang w:eastAsia="en-IN"/>
        </w:rPr>
        <w:t>NPA</w:t>
      </w:r>
      <w:proofErr w:type="spellEnd"/>
      <w:r w:rsidRPr="00C902C8">
        <w:rPr>
          <w:rFonts w:ascii="Times New Roman" w:eastAsia="Times New Roman" w:hAnsi="Times New Roman" w:cs="Times New Roman"/>
          <w:b/>
          <w:bCs/>
          <w:color w:val="000000"/>
          <w:sz w:val="24"/>
          <w:szCs w:val="24"/>
          <w:lang w:eastAsia="en-IN"/>
        </w:rPr>
        <w:t>)</w:t>
      </w:r>
    </w:p>
    <w:p w14:paraId="681BA36D"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14:paraId="07597A4C"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5. Since the moratorium/deferment/recalculation of the ‘drawing power’ is being provided specifically to enable the borrowers to tide over economic fallout from COVID-19, the same will not be treated as concession or change in terms and conditions of loan agreements due to financial difficulty of the borrower under paragraph 2 of the Annex to the Reserve Bank of India (Prudential Framework for Resolution of Stressed Assets) Directions, 2019 dated June 7, 2019 (“Prudential Framework”). Consequently, such a measure, by itself, shall not result in asset classification downgrade.</w:t>
      </w:r>
    </w:p>
    <w:p w14:paraId="0EB56617"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01A47D6"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6. The asset classification of term loans which are granted relief as per paragraph 2 shall be determined on the basis of revised due dates and the revised repayment schedule. Similarly, working capital facilities where relief is provided as per paragraph 3 above, the </w:t>
      </w:r>
      <w:proofErr w:type="spellStart"/>
      <w:r w:rsidRPr="00C902C8">
        <w:rPr>
          <w:rFonts w:ascii="Times New Roman" w:eastAsia="Times New Roman" w:hAnsi="Times New Roman" w:cs="Times New Roman"/>
          <w:color w:val="000000"/>
          <w:sz w:val="24"/>
          <w:szCs w:val="24"/>
          <w:lang w:eastAsia="en-IN"/>
        </w:rPr>
        <w:t>SMA</w:t>
      </w:r>
      <w:proofErr w:type="spellEnd"/>
      <w:r w:rsidRPr="00C902C8">
        <w:rPr>
          <w:rFonts w:ascii="Times New Roman" w:eastAsia="Times New Roman" w:hAnsi="Times New Roman" w:cs="Times New Roman"/>
          <w:color w:val="000000"/>
          <w:sz w:val="24"/>
          <w:szCs w:val="24"/>
          <w:lang w:eastAsia="en-IN"/>
        </w:rPr>
        <w:t xml:space="preserve"> and the out of order status shall be evaluated considering the application of accumulated interest immediately after the completion of the deferment period as well as the revised terms, as permitted in terms of paragraph 4 above.</w:t>
      </w:r>
    </w:p>
    <w:p w14:paraId="6B42C185"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B06F0EA"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7. The rescheduling of payments, including interest, will not qualify as a default for the purposes of supervisory reporting and reporting to Credit Information Companies (</w:t>
      </w:r>
      <w:proofErr w:type="spellStart"/>
      <w:r w:rsidRPr="00C902C8">
        <w:rPr>
          <w:rFonts w:ascii="Times New Roman" w:eastAsia="Times New Roman" w:hAnsi="Times New Roman" w:cs="Times New Roman"/>
          <w:color w:val="000000"/>
          <w:sz w:val="24"/>
          <w:szCs w:val="24"/>
          <w:lang w:eastAsia="en-IN"/>
        </w:rPr>
        <w:t>CICs</w:t>
      </w:r>
      <w:proofErr w:type="spellEnd"/>
      <w:r w:rsidRPr="00C902C8">
        <w:rPr>
          <w:rFonts w:ascii="Times New Roman" w:eastAsia="Times New Roman" w:hAnsi="Times New Roman" w:cs="Times New Roman"/>
          <w:color w:val="000000"/>
          <w:sz w:val="24"/>
          <w:szCs w:val="24"/>
          <w:lang w:eastAsia="en-IN"/>
        </w:rPr>
        <w:t xml:space="preserve">) by the lending institutions. </w:t>
      </w:r>
      <w:proofErr w:type="spellStart"/>
      <w:r w:rsidRPr="00C902C8">
        <w:rPr>
          <w:rFonts w:ascii="Times New Roman" w:eastAsia="Times New Roman" w:hAnsi="Times New Roman" w:cs="Times New Roman"/>
          <w:color w:val="000000"/>
          <w:sz w:val="24"/>
          <w:szCs w:val="24"/>
          <w:lang w:eastAsia="en-IN"/>
        </w:rPr>
        <w:t>CICs</w:t>
      </w:r>
      <w:proofErr w:type="spellEnd"/>
      <w:r w:rsidRPr="00C902C8">
        <w:rPr>
          <w:rFonts w:ascii="Times New Roman" w:eastAsia="Times New Roman" w:hAnsi="Times New Roman" w:cs="Times New Roman"/>
          <w:color w:val="000000"/>
          <w:sz w:val="24"/>
          <w:szCs w:val="24"/>
          <w:lang w:eastAsia="en-IN"/>
        </w:rPr>
        <w:t xml:space="preserve"> shall ensure that the actions taken by lending institutions pursuant to the above announcements do not adversely impact the credit history of the beneficiaries.</w:t>
      </w:r>
    </w:p>
    <w:p w14:paraId="54554CE6"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773F230"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Other Conditions</w:t>
      </w:r>
    </w:p>
    <w:p w14:paraId="661F0516"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F12FB2D"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8. Lending institutions shall frame Board approved polices for providing the above-mentioned reliefs to all eligible borrowers, inter alia, including the objective criteria for considering reliefs under paragraph 4 above and disclosed in public domain.</w:t>
      </w:r>
    </w:p>
    <w:p w14:paraId="263AD38D"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9D298C5"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lastRenderedPageBreak/>
        <w:t>9. Wherever the exposure of a lending institution to a borrower is ₹ 5 crore or above as on March 1, 2020, the bank shall develop an MIS on the reliefs provided to its borrowers which shall inter alia include borrower-wise and credit-facility wise information regarding the nature and amount of relief granted.</w:t>
      </w:r>
    </w:p>
    <w:p w14:paraId="5F3BA185"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DB050FF"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10. The instructions in this circular come into force with immediate effect. The Board of Directors and the key management personnel of the lending institutions shall ensure that the above instructions are </w:t>
      </w:r>
      <w:proofErr w:type="gramStart"/>
      <w:r w:rsidRPr="00C902C8">
        <w:rPr>
          <w:rFonts w:ascii="Times New Roman" w:eastAsia="Times New Roman" w:hAnsi="Times New Roman" w:cs="Times New Roman"/>
          <w:color w:val="000000"/>
          <w:sz w:val="24"/>
          <w:szCs w:val="24"/>
          <w:lang w:eastAsia="en-IN"/>
        </w:rPr>
        <w:t>properly communicated</w:t>
      </w:r>
      <w:proofErr w:type="gramEnd"/>
      <w:r w:rsidRPr="00C902C8">
        <w:rPr>
          <w:rFonts w:ascii="Times New Roman" w:eastAsia="Times New Roman" w:hAnsi="Times New Roman" w:cs="Times New Roman"/>
          <w:color w:val="000000"/>
          <w:sz w:val="24"/>
          <w:szCs w:val="24"/>
          <w:lang w:eastAsia="en-IN"/>
        </w:rPr>
        <w:t xml:space="preserve"> down the line in their respective organisations, and clear instructions are issued to their staff regarding their implementation.</w:t>
      </w:r>
    </w:p>
    <w:p w14:paraId="40200CC5" w14:textId="77777777" w:rsidR="005C5F02" w:rsidRPr="00C902C8" w:rsidRDefault="005C5F02" w:rsidP="005C5F02">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bookmarkEnd w:id="1"/>
    <w:p w14:paraId="2896BC02" w14:textId="77777777" w:rsidR="005C5F02" w:rsidRPr="00C902C8" w:rsidRDefault="005C5F02" w:rsidP="005C5F0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ED0E18D" w14:textId="77777777" w:rsidR="005C5F02" w:rsidRDefault="005C5F02" w:rsidP="005C5F02">
      <w:pPr>
        <w:spacing w:after="0" w:line="240" w:lineRule="auto"/>
        <w:jc w:val="both"/>
        <w:rPr>
          <w:rFonts w:ascii="Times New Roman" w:hAnsi="Times New Roman" w:cs="Times New Roman"/>
          <w:b/>
          <w:bCs/>
          <w:sz w:val="24"/>
          <w:szCs w:val="24"/>
        </w:rPr>
      </w:pPr>
    </w:p>
    <w:p w14:paraId="2E69EB8A" w14:textId="77777777" w:rsidR="005C5F02" w:rsidRDefault="005C5F02" w:rsidP="005C5F02">
      <w:pPr>
        <w:spacing w:after="0" w:line="240" w:lineRule="auto"/>
        <w:jc w:val="both"/>
        <w:rPr>
          <w:rFonts w:ascii="Times New Roman" w:hAnsi="Times New Roman" w:cs="Times New Roman"/>
          <w:b/>
          <w:bCs/>
          <w:sz w:val="24"/>
          <w:szCs w:val="24"/>
        </w:rPr>
      </w:pPr>
      <w:proofErr w:type="spellStart"/>
      <w:r w:rsidRPr="00C902C8">
        <w:rPr>
          <w:rFonts w:ascii="Times New Roman" w:hAnsi="Times New Roman" w:cs="Times New Roman"/>
          <w:b/>
          <w:bCs/>
          <w:sz w:val="24"/>
          <w:szCs w:val="24"/>
        </w:rPr>
        <w:t>COVID19</w:t>
      </w:r>
      <w:proofErr w:type="spellEnd"/>
      <w:r w:rsidRPr="00C902C8">
        <w:rPr>
          <w:rFonts w:ascii="Times New Roman" w:hAnsi="Times New Roman" w:cs="Times New Roman"/>
          <w:b/>
          <w:bCs/>
          <w:sz w:val="24"/>
          <w:szCs w:val="24"/>
        </w:rPr>
        <w:t xml:space="preserve"> Regulatory Package – Review of Resolution Timelines under the Prudential Framework on Resolution of Stressed Assets</w:t>
      </w:r>
    </w:p>
    <w:p w14:paraId="307DD6CA" w14:textId="77777777" w:rsidR="005C5F02" w:rsidRPr="00C902C8" w:rsidRDefault="005C5F02" w:rsidP="005C5F02">
      <w:pPr>
        <w:spacing w:after="0" w:line="240" w:lineRule="auto"/>
        <w:jc w:val="both"/>
        <w:rPr>
          <w:rFonts w:ascii="Times New Roman" w:hAnsi="Times New Roman" w:cs="Times New Roman"/>
          <w:b/>
          <w:bCs/>
          <w:sz w:val="24"/>
          <w:szCs w:val="24"/>
        </w:rPr>
      </w:pPr>
    </w:p>
    <w:p w14:paraId="66A5CC10"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RBI/2019-20/219 </w:t>
      </w:r>
      <w:proofErr w:type="spellStart"/>
      <w:r w:rsidRPr="00C902C8">
        <w:rPr>
          <w:rFonts w:ascii="Times New Roman" w:hAnsi="Times New Roman" w:cs="Times New Roman"/>
          <w:sz w:val="24"/>
          <w:szCs w:val="24"/>
        </w:rPr>
        <w:t>DOR.No.BP.BC.62</w:t>
      </w:r>
      <w:proofErr w:type="spellEnd"/>
      <w:r w:rsidRPr="00C902C8">
        <w:rPr>
          <w:rFonts w:ascii="Times New Roman" w:hAnsi="Times New Roman" w:cs="Times New Roman"/>
          <w:sz w:val="24"/>
          <w:szCs w:val="24"/>
        </w:rPr>
        <w:t>/21.04.048/2019-20</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17, 2020</w:t>
      </w:r>
    </w:p>
    <w:p w14:paraId="01926300" w14:textId="77777777" w:rsidR="005C5F02" w:rsidRPr="00C902C8" w:rsidRDefault="005C5F02" w:rsidP="005C5F02">
      <w:pPr>
        <w:spacing w:after="0" w:line="240" w:lineRule="auto"/>
        <w:jc w:val="both"/>
        <w:rPr>
          <w:rFonts w:ascii="Times New Roman" w:hAnsi="Times New Roman" w:cs="Times New Roman"/>
          <w:sz w:val="24"/>
          <w:szCs w:val="24"/>
        </w:rPr>
      </w:pPr>
    </w:p>
    <w:p w14:paraId="67EC9AAA"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Regional Rural Banks)/ All India Financial Institutions (</w:t>
      </w:r>
      <w:proofErr w:type="spellStart"/>
      <w:r w:rsidRPr="00C902C8">
        <w:rPr>
          <w:rFonts w:ascii="Times New Roman" w:hAnsi="Times New Roman" w:cs="Times New Roman"/>
          <w:sz w:val="24"/>
          <w:szCs w:val="24"/>
        </w:rPr>
        <w:t>NABARD</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NHB</w:t>
      </w:r>
      <w:proofErr w:type="spellEnd"/>
      <w:r w:rsidRPr="00C902C8">
        <w:rPr>
          <w:rFonts w:ascii="Times New Roman" w:hAnsi="Times New Roman" w:cs="Times New Roman"/>
          <w:sz w:val="24"/>
          <w:szCs w:val="24"/>
        </w:rPr>
        <w:t>, EXIM Bank, and SIDBI)/ All Systemically Important Non-Deposit taking Non-Banking Financial Companies (</w:t>
      </w:r>
      <w:proofErr w:type="spellStart"/>
      <w:r w:rsidRPr="00C902C8">
        <w:rPr>
          <w:rFonts w:ascii="Times New Roman" w:hAnsi="Times New Roman" w:cs="Times New Roman"/>
          <w:sz w:val="24"/>
          <w:szCs w:val="24"/>
        </w:rPr>
        <w:t>NBFC</w:t>
      </w:r>
      <w:proofErr w:type="spellEnd"/>
      <w:r w:rsidRPr="00C902C8">
        <w:rPr>
          <w:rFonts w:ascii="Times New Roman" w:hAnsi="Times New Roman" w:cs="Times New Roman"/>
          <w:sz w:val="24"/>
          <w:szCs w:val="24"/>
        </w:rPr>
        <w:t>-ND-SI) and Deposit taking Non-Banking Financial Companies (</w:t>
      </w:r>
      <w:proofErr w:type="spellStart"/>
      <w:r w:rsidRPr="00C902C8">
        <w:rPr>
          <w:rFonts w:ascii="Times New Roman" w:hAnsi="Times New Roman" w:cs="Times New Roman"/>
          <w:sz w:val="24"/>
          <w:szCs w:val="24"/>
        </w:rPr>
        <w:t>NBFC</w:t>
      </w:r>
      <w:proofErr w:type="spellEnd"/>
      <w:r w:rsidRPr="00C902C8">
        <w:rPr>
          <w:rFonts w:ascii="Times New Roman" w:hAnsi="Times New Roman" w:cs="Times New Roman"/>
          <w:sz w:val="24"/>
          <w:szCs w:val="24"/>
        </w:rPr>
        <w:t>-D).</w:t>
      </w:r>
    </w:p>
    <w:p w14:paraId="7AF65747" w14:textId="77777777" w:rsidR="005C5F02" w:rsidRPr="00C902C8" w:rsidRDefault="005C5F02" w:rsidP="005C5F02">
      <w:pPr>
        <w:spacing w:after="0" w:line="240" w:lineRule="auto"/>
        <w:jc w:val="both"/>
        <w:rPr>
          <w:rFonts w:ascii="Times New Roman" w:hAnsi="Times New Roman" w:cs="Times New Roman"/>
          <w:sz w:val="24"/>
          <w:szCs w:val="24"/>
        </w:rPr>
      </w:pPr>
    </w:p>
    <w:p w14:paraId="577F3D32"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Governor’s Statement of April 17, 2020 announcing certain additional regulatory measures aimed at alleviating the lingering impact of </w:t>
      </w:r>
      <w:proofErr w:type="spellStart"/>
      <w:r w:rsidRPr="00C902C8">
        <w:rPr>
          <w:rFonts w:ascii="Times New Roman" w:hAnsi="Times New Roman" w:cs="Times New Roman"/>
          <w:sz w:val="24"/>
          <w:szCs w:val="24"/>
        </w:rPr>
        <w:t>Covid19</w:t>
      </w:r>
      <w:proofErr w:type="spellEnd"/>
      <w:r w:rsidRPr="00C902C8">
        <w:rPr>
          <w:rFonts w:ascii="Times New Roman" w:hAnsi="Times New Roman" w:cs="Times New Roman"/>
          <w:sz w:val="24"/>
          <w:szCs w:val="24"/>
        </w:rPr>
        <w:t xml:space="preserve"> on businesses and financial institutions in India, consistent with the globally coordinated action committed by the Basel Committee on Banking Supervision. In this regard, the detailed instructions relating to extension of resolution timelines under the Prudential Framework on Resolution of Stressed Assets dated June 7, 2019 (‘Prudential Framework’) are as under:</w:t>
      </w:r>
    </w:p>
    <w:p w14:paraId="475B917D" w14:textId="77777777" w:rsidR="005C5F02" w:rsidRPr="00C902C8" w:rsidRDefault="005C5F02" w:rsidP="005C5F02">
      <w:pPr>
        <w:spacing w:after="0" w:line="240" w:lineRule="auto"/>
        <w:jc w:val="both"/>
        <w:rPr>
          <w:rFonts w:ascii="Times New Roman" w:hAnsi="Times New Roman" w:cs="Times New Roman"/>
          <w:sz w:val="24"/>
          <w:szCs w:val="24"/>
        </w:rPr>
      </w:pPr>
    </w:p>
    <w:p w14:paraId="1EE93896"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terms of paragraph 11 of the Prudential Framework, lenders are required to implement a resolution plan in respect of entities in default within 180 days from the end of Review Period of 30 days. </w:t>
      </w:r>
    </w:p>
    <w:p w14:paraId="742C939A" w14:textId="77777777" w:rsidR="005C5F02" w:rsidRPr="00C902C8" w:rsidRDefault="005C5F02" w:rsidP="005C5F02">
      <w:pPr>
        <w:spacing w:after="0" w:line="240" w:lineRule="auto"/>
        <w:jc w:val="both"/>
        <w:rPr>
          <w:rFonts w:ascii="Times New Roman" w:hAnsi="Times New Roman" w:cs="Times New Roman"/>
          <w:sz w:val="24"/>
          <w:szCs w:val="24"/>
        </w:rPr>
      </w:pPr>
    </w:p>
    <w:p w14:paraId="6D27753A"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On a review, it has been decided that in respect of accounts which were within the Review Period as on March 1, 2020, the period from March 1, 2020 to May 31, 2020 shall be excluded from the calculation of the 30-day timeline for the Review Period. In respect of all such accounts, the residual Review Period shall resume from June 1, 2020, upon expiry of which the lenders shall have the usual 180 days for resolution.</w:t>
      </w:r>
    </w:p>
    <w:p w14:paraId="1DC91CB2" w14:textId="77777777" w:rsidR="005C5F02" w:rsidRPr="00C902C8" w:rsidRDefault="005C5F02" w:rsidP="005C5F02">
      <w:pPr>
        <w:spacing w:after="0" w:line="240" w:lineRule="auto"/>
        <w:jc w:val="both"/>
        <w:rPr>
          <w:rFonts w:ascii="Times New Roman" w:hAnsi="Times New Roman" w:cs="Times New Roman"/>
          <w:sz w:val="24"/>
          <w:szCs w:val="24"/>
        </w:rPr>
      </w:pPr>
    </w:p>
    <w:p w14:paraId="475E9E6C"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In respect of accounts where the Review Period was over, but the 180-day resolution period had not expired as on March 1, 2020, the timeline for resolution shall get extended by 90 days from the date on which the 180-day period was originally set to expire.</w:t>
      </w:r>
    </w:p>
    <w:p w14:paraId="13F07333" w14:textId="77777777" w:rsidR="005C5F02" w:rsidRPr="00C902C8" w:rsidRDefault="005C5F02" w:rsidP="005C5F02">
      <w:pPr>
        <w:spacing w:after="0" w:line="240" w:lineRule="auto"/>
        <w:jc w:val="both"/>
        <w:rPr>
          <w:rFonts w:ascii="Times New Roman" w:hAnsi="Times New Roman" w:cs="Times New Roman"/>
          <w:sz w:val="24"/>
          <w:szCs w:val="24"/>
        </w:rPr>
      </w:pPr>
    </w:p>
    <w:p w14:paraId="0A801677"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Consequently, the requirement of making additional provisions specified in paragraph 17 of the Prudential Framework shall be triggered as and when the extended resolution period, as stated above, expires.</w:t>
      </w:r>
    </w:p>
    <w:p w14:paraId="6EEA89C7" w14:textId="77777777" w:rsidR="005C5F02" w:rsidRPr="00C902C8" w:rsidRDefault="005C5F02" w:rsidP="005C5F02">
      <w:pPr>
        <w:spacing w:after="0" w:line="240" w:lineRule="auto"/>
        <w:jc w:val="both"/>
        <w:rPr>
          <w:rFonts w:ascii="Times New Roman" w:hAnsi="Times New Roman" w:cs="Times New Roman"/>
          <w:sz w:val="24"/>
          <w:szCs w:val="24"/>
        </w:rPr>
      </w:pPr>
    </w:p>
    <w:p w14:paraId="36B47A20"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In respect of all other accounts, the provisions of the Prudential Framework shall be in force without any modifications.</w:t>
      </w:r>
    </w:p>
    <w:p w14:paraId="44BDE794" w14:textId="77777777" w:rsidR="005C5F02" w:rsidRPr="00C902C8" w:rsidRDefault="005C5F02" w:rsidP="005C5F02">
      <w:pPr>
        <w:spacing w:after="0" w:line="240" w:lineRule="auto"/>
        <w:jc w:val="both"/>
        <w:rPr>
          <w:rFonts w:ascii="Times New Roman" w:hAnsi="Times New Roman" w:cs="Times New Roman"/>
          <w:sz w:val="24"/>
          <w:szCs w:val="24"/>
        </w:rPr>
      </w:pPr>
    </w:p>
    <w:p w14:paraId="4469FD52"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 xml:space="preserve">7. The lending institutions shall make relevant disclosures in respect of accounts where the resolution period was extended in the ‘Notes to Accounts’ while preparing their financial statements for the half year ending September 30, 2020 as well as the financial years </w:t>
      </w:r>
      <w:proofErr w:type="spellStart"/>
      <w:r w:rsidRPr="00C902C8">
        <w:rPr>
          <w:rFonts w:ascii="Times New Roman" w:hAnsi="Times New Roman" w:cs="Times New Roman"/>
          <w:sz w:val="24"/>
          <w:szCs w:val="24"/>
        </w:rPr>
        <w:t>FY2020</w:t>
      </w:r>
      <w:proofErr w:type="spellEnd"/>
      <w:r w:rsidRPr="00C902C8">
        <w:rPr>
          <w:rFonts w:ascii="Times New Roman" w:hAnsi="Times New Roman" w:cs="Times New Roman"/>
          <w:sz w:val="24"/>
          <w:szCs w:val="24"/>
        </w:rPr>
        <w:t xml:space="preserve"> and </w:t>
      </w:r>
      <w:proofErr w:type="spellStart"/>
      <w:r w:rsidRPr="00C902C8">
        <w:rPr>
          <w:rFonts w:ascii="Times New Roman" w:hAnsi="Times New Roman" w:cs="Times New Roman"/>
          <w:sz w:val="24"/>
          <w:szCs w:val="24"/>
        </w:rPr>
        <w:t>FY2021</w:t>
      </w:r>
      <w:proofErr w:type="spellEnd"/>
      <w:r w:rsidRPr="00C902C8">
        <w:rPr>
          <w:rFonts w:ascii="Times New Roman" w:hAnsi="Times New Roman" w:cs="Times New Roman"/>
          <w:sz w:val="24"/>
          <w:szCs w:val="24"/>
        </w:rPr>
        <w:t>.</w:t>
      </w:r>
    </w:p>
    <w:p w14:paraId="3128037D" w14:textId="77777777" w:rsidR="005C5F02" w:rsidRPr="00C902C8" w:rsidRDefault="005C5F02" w:rsidP="005C5F02">
      <w:pPr>
        <w:pBdr>
          <w:bottom w:val="single" w:sz="12" w:space="1" w:color="auto"/>
        </w:pBdr>
        <w:spacing w:after="0" w:line="240" w:lineRule="auto"/>
        <w:jc w:val="both"/>
        <w:rPr>
          <w:rFonts w:ascii="Times New Roman" w:hAnsi="Times New Roman" w:cs="Times New Roman"/>
          <w:sz w:val="24"/>
          <w:szCs w:val="24"/>
        </w:rPr>
      </w:pPr>
    </w:p>
    <w:p w14:paraId="671A9DF0" w14:textId="77777777" w:rsidR="005C5F02" w:rsidRPr="00C902C8" w:rsidRDefault="005C5F02" w:rsidP="005C5F02">
      <w:pPr>
        <w:spacing w:after="0" w:line="240" w:lineRule="auto"/>
        <w:jc w:val="both"/>
        <w:rPr>
          <w:rFonts w:ascii="Times New Roman" w:hAnsi="Times New Roman" w:cs="Times New Roman"/>
          <w:sz w:val="24"/>
          <w:szCs w:val="24"/>
        </w:rPr>
      </w:pPr>
    </w:p>
    <w:p w14:paraId="4CD91CFA" w14:textId="77777777" w:rsidR="00AE747B" w:rsidRDefault="00AE747B" w:rsidP="005C5F02">
      <w:pPr>
        <w:spacing w:after="0" w:line="240" w:lineRule="auto"/>
        <w:jc w:val="both"/>
        <w:rPr>
          <w:rFonts w:ascii="Times New Roman" w:hAnsi="Times New Roman" w:cs="Times New Roman"/>
          <w:b/>
          <w:bCs/>
          <w:sz w:val="24"/>
          <w:szCs w:val="24"/>
        </w:rPr>
      </w:pPr>
      <w:bookmarkStart w:id="2" w:name="_Hlk43631894"/>
    </w:p>
    <w:p w14:paraId="3A32F96C" w14:textId="591D1C72" w:rsidR="005C5F02"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COVID</w:t>
      </w:r>
      <w:r>
        <w:rPr>
          <w:rFonts w:ascii="Times New Roman" w:hAnsi="Times New Roman" w:cs="Times New Roman"/>
          <w:b/>
          <w:bCs/>
          <w:sz w:val="24"/>
          <w:szCs w:val="24"/>
        </w:rPr>
        <w:t xml:space="preserve"> </w:t>
      </w:r>
      <w:r w:rsidRPr="00C902C8">
        <w:rPr>
          <w:rFonts w:ascii="Times New Roman" w:hAnsi="Times New Roman" w:cs="Times New Roman"/>
          <w:b/>
          <w:bCs/>
          <w:sz w:val="24"/>
          <w:szCs w:val="24"/>
        </w:rPr>
        <w:t>19 Regulatory Package - Asset Classification and Provisioning</w:t>
      </w:r>
    </w:p>
    <w:p w14:paraId="5097796D" w14:textId="77777777" w:rsidR="005C5F02" w:rsidRPr="00C902C8" w:rsidRDefault="005C5F02" w:rsidP="005C5F02">
      <w:pPr>
        <w:spacing w:after="0" w:line="240" w:lineRule="auto"/>
        <w:jc w:val="both"/>
        <w:rPr>
          <w:rFonts w:ascii="Times New Roman" w:hAnsi="Times New Roman" w:cs="Times New Roman"/>
          <w:b/>
          <w:bCs/>
          <w:sz w:val="24"/>
          <w:szCs w:val="24"/>
        </w:rPr>
      </w:pPr>
    </w:p>
    <w:p w14:paraId="5E1A3897"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RBI/2019-20/220 </w:t>
      </w:r>
      <w:proofErr w:type="spellStart"/>
      <w:r w:rsidRPr="00C902C8">
        <w:rPr>
          <w:rFonts w:ascii="Times New Roman" w:hAnsi="Times New Roman" w:cs="Times New Roman"/>
          <w:sz w:val="24"/>
          <w:szCs w:val="24"/>
        </w:rPr>
        <w:t>DOR.No.BP.BC.63</w:t>
      </w:r>
      <w:proofErr w:type="spellEnd"/>
      <w:r w:rsidRPr="00C902C8">
        <w:rPr>
          <w:rFonts w:ascii="Times New Roman" w:hAnsi="Times New Roman" w:cs="Times New Roman"/>
          <w:sz w:val="24"/>
          <w:szCs w:val="24"/>
        </w:rPr>
        <w:t xml:space="preserve">/21.04.048/2019-20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17, 2020</w:t>
      </w:r>
    </w:p>
    <w:p w14:paraId="2EF9EB92" w14:textId="77777777" w:rsidR="005C5F02" w:rsidRPr="00C902C8" w:rsidRDefault="005C5F02" w:rsidP="005C5F02">
      <w:pPr>
        <w:spacing w:after="0" w:line="240" w:lineRule="auto"/>
        <w:jc w:val="both"/>
        <w:rPr>
          <w:rFonts w:ascii="Times New Roman" w:hAnsi="Times New Roman" w:cs="Times New Roman"/>
          <w:sz w:val="24"/>
          <w:szCs w:val="24"/>
        </w:rPr>
      </w:pPr>
    </w:p>
    <w:p w14:paraId="44CF1D66"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58A7B855" w14:textId="77777777" w:rsidR="005C5F02" w:rsidRPr="00C902C8" w:rsidRDefault="005C5F02" w:rsidP="005C5F02">
      <w:pPr>
        <w:spacing w:after="0" w:line="240" w:lineRule="auto"/>
        <w:jc w:val="both"/>
        <w:rPr>
          <w:rFonts w:ascii="Times New Roman" w:hAnsi="Times New Roman" w:cs="Times New Roman"/>
          <w:sz w:val="24"/>
          <w:szCs w:val="24"/>
        </w:rPr>
      </w:pPr>
    </w:p>
    <w:p w14:paraId="35576C65"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Governor’s Statement of April 17, 2020 announcing certain additional regulatory measures aimed at alleviating the lingering impact of </w:t>
      </w:r>
      <w:proofErr w:type="spellStart"/>
      <w:r w:rsidRPr="00C902C8">
        <w:rPr>
          <w:rFonts w:ascii="Times New Roman" w:hAnsi="Times New Roman" w:cs="Times New Roman"/>
          <w:sz w:val="24"/>
          <w:szCs w:val="24"/>
        </w:rPr>
        <w:t>Covid19</w:t>
      </w:r>
      <w:proofErr w:type="spellEnd"/>
      <w:r w:rsidRPr="00C902C8">
        <w:rPr>
          <w:rFonts w:ascii="Times New Roman" w:hAnsi="Times New Roman" w:cs="Times New Roman"/>
          <w:sz w:val="24"/>
          <w:szCs w:val="24"/>
        </w:rPr>
        <w:t xml:space="preserve"> pandemic on the businesses and financial institutions in India, consistent with the globally coordinated action committed by the Basel Committee on Banking Supervision. In this regard, the detailed instructions with regard to asset classification and provisioning are as follows:</w:t>
      </w:r>
    </w:p>
    <w:p w14:paraId="75E63E86" w14:textId="77777777" w:rsidR="005C5F02" w:rsidRPr="00C902C8" w:rsidRDefault="005C5F02" w:rsidP="005C5F02">
      <w:pPr>
        <w:spacing w:after="0" w:line="240" w:lineRule="auto"/>
        <w:jc w:val="both"/>
        <w:rPr>
          <w:rFonts w:ascii="Times New Roman" w:hAnsi="Times New Roman" w:cs="Times New Roman"/>
          <w:sz w:val="24"/>
          <w:szCs w:val="24"/>
        </w:rPr>
      </w:pPr>
    </w:p>
    <w:p w14:paraId="1CF980BC" w14:textId="77777777" w:rsidR="005C5F02" w:rsidRPr="00C902C8"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w:t>
      </w:r>
      <w:proofErr w:type="spellStart"/>
      <w:r w:rsidRPr="00C902C8">
        <w:rPr>
          <w:rFonts w:ascii="Times New Roman" w:hAnsi="Times New Roman" w:cs="Times New Roman"/>
          <w:b/>
          <w:bCs/>
          <w:sz w:val="24"/>
          <w:szCs w:val="24"/>
        </w:rPr>
        <w:t>i</w:t>
      </w:r>
      <w:proofErr w:type="spellEnd"/>
      <w:r w:rsidRPr="00C902C8">
        <w:rPr>
          <w:rFonts w:ascii="Times New Roman" w:hAnsi="Times New Roman" w:cs="Times New Roman"/>
          <w:b/>
          <w:bCs/>
          <w:sz w:val="24"/>
          <w:szCs w:val="24"/>
        </w:rPr>
        <w:t>) Asset Classification under the Prudential norms on Income Recognition, Asset Classification (</w:t>
      </w:r>
      <w:proofErr w:type="spellStart"/>
      <w:r w:rsidRPr="00C902C8">
        <w:rPr>
          <w:rFonts w:ascii="Times New Roman" w:hAnsi="Times New Roman" w:cs="Times New Roman"/>
          <w:b/>
          <w:bCs/>
          <w:sz w:val="24"/>
          <w:szCs w:val="24"/>
        </w:rPr>
        <w:t>IRAC</w:t>
      </w:r>
      <w:proofErr w:type="spellEnd"/>
      <w:r w:rsidRPr="00C902C8">
        <w:rPr>
          <w:rFonts w:ascii="Times New Roman" w:hAnsi="Times New Roman" w:cs="Times New Roman"/>
          <w:b/>
          <w:bCs/>
          <w:sz w:val="24"/>
          <w:szCs w:val="24"/>
        </w:rPr>
        <w:t>)</w:t>
      </w:r>
    </w:p>
    <w:p w14:paraId="2ACC6F0F" w14:textId="77777777" w:rsidR="005C5F02" w:rsidRPr="00C902C8" w:rsidRDefault="005C5F02" w:rsidP="005C5F02">
      <w:pPr>
        <w:spacing w:after="0" w:line="240" w:lineRule="auto"/>
        <w:jc w:val="both"/>
        <w:rPr>
          <w:rFonts w:ascii="Times New Roman" w:hAnsi="Times New Roman" w:cs="Times New Roman"/>
          <w:sz w:val="24"/>
          <w:szCs w:val="24"/>
        </w:rPr>
      </w:pPr>
    </w:p>
    <w:p w14:paraId="7FCD6637"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terms of the circular </w:t>
      </w:r>
      <w:proofErr w:type="spellStart"/>
      <w:r w:rsidRPr="00C902C8">
        <w:rPr>
          <w:rFonts w:ascii="Times New Roman" w:hAnsi="Times New Roman" w:cs="Times New Roman"/>
          <w:sz w:val="24"/>
          <w:szCs w:val="24"/>
        </w:rPr>
        <w:t>DOR.No.BP.BC.47</w:t>
      </w:r>
      <w:proofErr w:type="spellEnd"/>
      <w:r w:rsidRPr="00C902C8">
        <w:rPr>
          <w:rFonts w:ascii="Times New Roman" w:hAnsi="Times New Roman" w:cs="Times New Roman"/>
          <w:sz w:val="24"/>
          <w:szCs w:val="24"/>
        </w:rPr>
        <w:t xml:space="preserve">/21.04.048/2019-20 dated March 27, 2020 (‘Regulatory Package’), the lending institutions were permitted to grant a moratorium of three months on payment of all term loan instalments falling due between March 1, 2020 and May 31, 2020 (‘moratorium period’). As such, in line with the clarification provided by the Basel Committee on Banking Supervision, in respect of all accounts classified as standard as on February 29, 2020, even if overdue, the moratorium period, wherever granted, shall be excluded by the lending institutions from the number of days past-due for the purpose of asset classification under the </w:t>
      </w:r>
      <w:proofErr w:type="spellStart"/>
      <w:r w:rsidRPr="00C902C8">
        <w:rPr>
          <w:rFonts w:ascii="Times New Roman" w:hAnsi="Times New Roman" w:cs="Times New Roman"/>
          <w:sz w:val="24"/>
          <w:szCs w:val="24"/>
        </w:rPr>
        <w:t>IRAC</w:t>
      </w:r>
      <w:proofErr w:type="spellEnd"/>
      <w:r w:rsidRPr="00C902C8">
        <w:rPr>
          <w:rFonts w:ascii="Times New Roman" w:hAnsi="Times New Roman" w:cs="Times New Roman"/>
          <w:sz w:val="24"/>
          <w:szCs w:val="24"/>
        </w:rPr>
        <w:t xml:space="preserve"> norms.</w:t>
      </w:r>
    </w:p>
    <w:p w14:paraId="05D74F09" w14:textId="77777777" w:rsidR="005C5F02" w:rsidRPr="00C902C8" w:rsidRDefault="005C5F02" w:rsidP="005C5F02">
      <w:pPr>
        <w:spacing w:after="0" w:line="240" w:lineRule="auto"/>
        <w:jc w:val="both"/>
        <w:rPr>
          <w:rFonts w:ascii="Times New Roman" w:hAnsi="Times New Roman" w:cs="Times New Roman"/>
          <w:sz w:val="24"/>
          <w:szCs w:val="24"/>
        </w:rPr>
      </w:pPr>
    </w:p>
    <w:p w14:paraId="2FFFB3E8"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Similarly in respect of working capital facilities sanctioned in the form of cash credit/overdraft (“CC/OD”), the Regulatory Package permitted the recovery of interest applied during the period from March 1, 2020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May 31, 2020 to be deferred (‘deferment period’). Such deferment period, wherever granted in respect of all facilities classified as standard, including </w:t>
      </w:r>
      <w:proofErr w:type="spellStart"/>
      <w:r w:rsidRPr="00C902C8">
        <w:rPr>
          <w:rFonts w:ascii="Times New Roman" w:hAnsi="Times New Roman" w:cs="Times New Roman"/>
          <w:sz w:val="24"/>
          <w:szCs w:val="24"/>
        </w:rPr>
        <w:t>SMA</w:t>
      </w:r>
      <w:proofErr w:type="spellEnd"/>
      <w:r w:rsidRPr="00C902C8">
        <w:rPr>
          <w:rFonts w:ascii="Times New Roman" w:hAnsi="Times New Roman" w:cs="Times New Roman"/>
          <w:sz w:val="24"/>
          <w:szCs w:val="24"/>
        </w:rPr>
        <w:t>, as on February 29, 2020, shall be excluded for the determination of out of order status.</w:t>
      </w:r>
    </w:p>
    <w:p w14:paraId="7FA5A87D" w14:textId="77777777" w:rsidR="005C5F02" w:rsidRPr="00C902C8" w:rsidRDefault="005C5F02" w:rsidP="005C5F02">
      <w:pPr>
        <w:spacing w:after="0" w:line="240" w:lineRule="auto"/>
        <w:jc w:val="both"/>
        <w:rPr>
          <w:rFonts w:ascii="Times New Roman" w:hAnsi="Times New Roman" w:cs="Times New Roman"/>
          <w:sz w:val="24"/>
          <w:szCs w:val="24"/>
        </w:rPr>
      </w:pPr>
    </w:p>
    <w:p w14:paraId="113DC21E"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4. </w:t>
      </w:r>
      <w:proofErr w:type="spellStart"/>
      <w:r w:rsidRPr="00C902C8">
        <w:rPr>
          <w:rFonts w:ascii="Times New Roman" w:hAnsi="Times New Roman" w:cs="Times New Roman"/>
          <w:sz w:val="24"/>
          <w:szCs w:val="24"/>
        </w:rPr>
        <w:t>NBFCs</w:t>
      </w:r>
      <w:proofErr w:type="spellEnd"/>
      <w:r w:rsidRPr="00C902C8">
        <w:rPr>
          <w:rFonts w:ascii="Times New Roman" w:hAnsi="Times New Roman" w:cs="Times New Roman"/>
          <w:sz w:val="24"/>
          <w:szCs w:val="24"/>
        </w:rPr>
        <w:t xml:space="preserve"> which are required to comply with Indian Accounting Standards (</w:t>
      </w:r>
      <w:proofErr w:type="spellStart"/>
      <w:r w:rsidRPr="00C902C8">
        <w:rPr>
          <w:rFonts w:ascii="Times New Roman" w:hAnsi="Times New Roman" w:cs="Times New Roman"/>
          <w:sz w:val="24"/>
          <w:szCs w:val="24"/>
        </w:rPr>
        <w:t>IndAS</w:t>
      </w:r>
      <w:proofErr w:type="spellEnd"/>
      <w:r w:rsidRPr="00C902C8">
        <w:rPr>
          <w:rFonts w:ascii="Times New Roman" w:hAnsi="Times New Roman" w:cs="Times New Roman"/>
          <w:sz w:val="24"/>
          <w:szCs w:val="24"/>
        </w:rPr>
        <w:t>) shall, as hitherto, continue to be guided by the guidelines duly approved by their Boards and as per ICAI Advisories for recognition of the impairments.</w:t>
      </w:r>
    </w:p>
    <w:p w14:paraId="094CB25F" w14:textId="77777777" w:rsidR="005C5F02" w:rsidRPr="00C902C8" w:rsidRDefault="005C5F02" w:rsidP="005C5F02">
      <w:pPr>
        <w:spacing w:after="0" w:line="240" w:lineRule="auto"/>
        <w:jc w:val="both"/>
        <w:rPr>
          <w:rFonts w:ascii="Times New Roman" w:hAnsi="Times New Roman" w:cs="Times New Roman"/>
          <w:sz w:val="24"/>
          <w:szCs w:val="24"/>
        </w:rPr>
      </w:pPr>
    </w:p>
    <w:p w14:paraId="5E63A633" w14:textId="77777777" w:rsidR="005C5F02" w:rsidRPr="00C902C8"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(ii) Provisioning</w:t>
      </w:r>
    </w:p>
    <w:p w14:paraId="2FEBDB81" w14:textId="77777777" w:rsidR="005C5F02" w:rsidRPr="00C902C8" w:rsidRDefault="005C5F02" w:rsidP="005C5F02">
      <w:pPr>
        <w:spacing w:after="0" w:line="240" w:lineRule="auto"/>
        <w:jc w:val="both"/>
        <w:rPr>
          <w:rFonts w:ascii="Times New Roman" w:hAnsi="Times New Roman" w:cs="Times New Roman"/>
          <w:sz w:val="24"/>
          <w:szCs w:val="24"/>
        </w:rPr>
      </w:pPr>
    </w:p>
    <w:p w14:paraId="0650A9B3"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5. In respect of accounts in default but standard where provisions of paragraphs (2) and (3) above are applicable, and asset classification benefit is extended, lending institutions shall </w:t>
      </w:r>
      <w:r w:rsidRPr="00C902C8">
        <w:rPr>
          <w:rFonts w:ascii="Times New Roman" w:hAnsi="Times New Roman" w:cs="Times New Roman"/>
          <w:sz w:val="24"/>
          <w:szCs w:val="24"/>
        </w:rPr>
        <w:lastRenderedPageBreak/>
        <w:t>make general provisions of not less than 10 per cent of the total outstanding of such accounts, to be phased over two quarters as under:</w:t>
      </w:r>
    </w:p>
    <w:p w14:paraId="5F8AF697" w14:textId="77777777" w:rsidR="005C5F02" w:rsidRPr="00C902C8" w:rsidRDefault="005C5F02" w:rsidP="005C5F02">
      <w:pPr>
        <w:spacing w:after="0" w:line="240" w:lineRule="auto"/>
        <w:jc w:val="both"/>
        <w:rPr>
          <w:rFonts w:ascii="Times New Roman" w:hAnsi="Times New Roman" w:cs="Times New Roman"/>
          <w:sz w:val="24"/>
          <w:szCs w:val="24"/>
        </w:rPr>
      </w:pPr>
    </w:p>
    <w:p w14:paraId="7122F264"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Quarter ended March 31, 2020 – not less than 5 per cent</w:t>
      </w:r>
    </w:p>
    <w:p w14:paraId="64B9E9FA" w14:textId="77777777" w:rsidR="005C5F02" w:rsidRPr="00C902C8" w:rsidRDefault="005C5F02" w:rsidP="005C5F02">
      <w:pPr>
        <w:spacing w:after="0" w:line="240" w:lineRule="auto"/>
        <w:jc w:val="both"/>
        <w:rPr>
          <w:rFonts w:ascii="Times New Roman" w:hAnsi="Times New Roman" w:cs="Times New Roman"/>
          <w:sz w:val="24"/>
          <w:szCs w:val="24"/>
        </w:rPr>
      </w:pPr>
    </w:p>
    <w:p w14:paraId="4B51FB34"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Quarter ending June 30, 2020 – not less than 5 per cent</w:t>
      </w:r>
    </w:p>
    <w:p w14:paraId="231EDC80" w14:textId="77777777" w:rsidR="005C5F02" w:rsidRPr="00C902C8" w:rsidRDefault="005C5F02" w:rsidP="005C5F02">
      <w:pPr>
        <w:spacing w:after="0" w:line="240" w:lineRule="auto"/>
        <w:jc w:val="both"/>
        <w:rPr>
          <w:rFonts w:ascii="Times New Roman" w:hAnsi="Times New Roman" w:cs="Times New Roman"/>
          <w:sz w:val="24"/>
          <w:szCs w:val="24"/>
        </w:rPr>
      </w:pPr>
    </w:p>
    <w:p w14:paraId="71FDCF79"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The above provisions may be adjusted against the actual provisioning requirements for slippages from the accounts reckoned for such provisions. The residual provisions at the end of the financial year can be written back or adjusted against the provisions required for all other accounts.</w:t>
      </w:r>
    </w:p>
    <w:p w14:paraId="310D3EE8" w14:textId="77777777" w:rsidR="005C5F02" w:rsidRPr="00C902C8" w:rsidRDefault="005C5F02" w:rsidP="005C5F02">
      <w:pPr>
        <w:spacing w:after="0" w:line="240" w:lineRule="auto"/>
        <w:jc w:val="both"/>
        <w:rPr>
          <w:rFonts w:ascii="Times New Roman" w:hAnsi="Times New Roman" w:cs="Times New Roman"/>
          <w:sz w:val="24"/>
          <w:szCs w:val="24"/>
        </w:rPr>
      </w:pPr>
    </w:p>
    <w:p w14:paraId="64331E20"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7. The above provisions shall not be reckoned for arriving at net </w:t>
      </w:r>
      <w:proofErr w:type="spellStart"/>
      <w:r w:rsidRPr="00C902C8">
        <w:rPr>
          <w:rFonts w:ascii="Times New Roman" w:hAnsi="Times New Roman" w:cs="Times New Roman"/>
          <w:sz w:val="24"/>
          <w:szCs w:val="24"/>
        </w:rPr>
        <w:t>NPAs</w:t>
      </w:r>
      <w:proofErr w:type="spellEnd"/>
      <w:r w:rsidRPr="00C902C8">
        <w:rPr>
          <w:rFonts w:ascii="Times New Roman" w:hAnsi="Times New Roman" w:cs="Times New Roman"/>
          <w:sz w:val="24"/>
          <w:szCs w:val="24"/>
        </w:rPr>
        <w:t xml:space="preserve"> till they are adjusted against the actual provisioning requirements as under paragraph 6 above. Further, till such adjustments, these provisions shall not be netted from gross advances but shown separately in the balance sheet as appropriate.</w:t>
      </w:r>
    </w:p>
    <w:p w14:paraId="18179548" w14:textId="77777777" w:rsidR="005C5F02" w:rsidRPr="00C902C8" w:rsidRDefault="005C5F02" w:rsidP="005C5F02">
      <w:pPr>
        <w:spacing w:after="0" w:line="240" w:lineRule="auto"/>
        <w:jc w:val="both"/>
        <w:rPr>
          <w:rFonts w:ascii="Times New Roman" w:hAnsi="Times New Roman" w:cs="Times New Roman"/>
          <w:sz w:val="24"/>
          <w:szCs w:val="24"/>
        </w:rPr>
      </w:pPr>
    </w:p>
    <w:p w14:paraId="5BC6B4F6"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8. All other provisions required to be maintained by lending institutions, including the provisions for accounts already classified as </w:t>
      </w:r>
      <w:proofErr w:type="spellStart"/>
      <w:r w:rsidRPr="00C902C8">
        <w:rPr>
          <w:rFonts w:ascii="Times New Roman" w:hAnsi="Times New Roman" w:cs="Times New Roman"/>
          <w:sz w:val="24"/>
          <w:szCs w:val="24"/>
        </w:rPr>
        <w:t>NPA</w:t>
      </w:r>
      <w:proofErr w:type="spellEnd"/>
      <w:r w:rsidRPr="00C902C8">
        <w:rPr>
          <w:rFonts w:ascii="Times New Roman" w:hAnsi="Times New Roman" w:cs="Times New Roman"/>
          <w:sz w:val="24"/>
          <w:szCs w:val="24"/>
        </w:rPr>
        <w:t xml:space="preserve"> as on February 29, 2020 as well as subsequent ageing in these accounts, shall continue to be made in the usual manner.</w:t>
      </w:r>
    </w:p>
    <w:p w14:paraId="711917FB" w14:textId="77777777" w:rsidR="005C5F02" w:rsidRPr="00C902C8" w:rsidRDefault="005C5F02" w:rsidP="005C5F02">
      <w:pPr>
        <w:spacing w:after="0" w:line="240" w:lineRule="auto"/>
        <w:jc w:val="both"/>
        <w:rPr>
          <w:rFonts w:ascii="Times New Roman" w:hAnsi="Times New Roman" w:cs="Times New Roman"/>
          <w:sz w:val="24"/>
          <w:szCs w:val="24"/>
        </w:rPr>
      </w:pPr>
    </w:p>
    <w:p w14:paraId="6AB9F77C" w14:textId="77777777" w:rsidR="005C5F02" w:rsidRPr="00C902C8"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Other Conditions</w:t>
      </w:r>
    </w:p>
    <w:p w14:paraId="7B584143" w14:textId="77777777" w:rsidR="005C5F02" w:rsidRPr="00C902C8" w:rsidRDefault="005C5F02" w:rsidP="005C5F02">
      <w:pPr>
        <w:spacing w:after="0" w:line="240" w:lineRule="auto"/>
        <w:jc w:val="both"/>
        <w:rPr>
          <w:rFonts w:ascii="Times New Roman" w:hAnsi="Times New Roman" w:cs="Times New Roman"/>
          <w:sz w:val="24"/>
          <w:szCs w:val="24"/>
        </w:rPr>
      </w:pPr>
    </w:p>
    <w:p w14:paraId="03CC92CB"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9. The exclusions permitted in terms of para 2 and 3 above shall be duly reckoned by the lending institutions in their supervisory reporting as well as reporting to credit information companies (</w:t>
      </w:r>
      <w:proofErr w:type="spellStart"/>
      <w:r w:rsidRPr="00C902C8">
        <w:rPr>
          <w:rFonts w:ascii="Times New Roman" w:hAnsi="Times New Roman" w:cs="Times New Roman"/>
          <w:sz w:val="24"/>
          <w:szCs w:val="24"/>
        </w:rPr>
        <w:t>CICs</w:t>
      </w:r>
      <w:proofErr w:type="spellEnd"/>
      <w:r w:rsidRPr="00C902C8">
        <w:rPr>
          <w:rFonts w:ascii="Times New Roman" w:hAnsi="Times New Roman" w:cs="Times New Roman"/>
          <w:sz w:val="24"/>
          <w:szCs w:val="24"/>
        </w:rPr>
        <w:t xml:space="preserve">); i.e., the days past due and </w:t>
      </w:r>
      <w:proofErr w:type="spellStart"/>
      <w:r w:rsidRPr="00C902C8">
        <w:rPr>
          <w:rFonts w:ascii="Times New Roman" w:hAnsi="Times New Roman" w:cs="Times New Roman"/>
          <w:sz w:val="24"/>
          <w:szCs w:val="24"/>
        </w:rPr>
        <w:t>SMA</w:t>
      </w:r>
      <w:proofErr w:type="spellEnd"/>
      <w:r w:rsidRPr="00C902C8">
        <w:rPr>
          <w:rFonts w:ascii="Times New Roman" w:hAnsi="Times New Roman" w:cs="Times New Roman"/>
          <w:sz w:val="24"/>
          <w:szCs w:val="24"/>
        </w:rPr>
        <w:t xml:space="preserve"> status, where applicable, as on March 1, 2020 will remain unchanged till May 31, 2020.</w:t>
      </w:r>
    </w:p>
    <w:p w14:paraId="5A281524" w14:textId="77777777" w:rsidR="005C5F02" w:rsidRPr="00C902C8" w:rsidRDefault="005C5F02" w:rsidP="005C5F02">
      <w:pPr>
        <w:spacing w:after="0" w:line="240" w:lineRule="auto"/>
        <w:jc w:val="both"/>
        <w:rPr>
          <w:rFonts w:ascii="Times New Roman" w:hAnsi="Times New Roman" w:cs="Times New Roman"/>
          <w:sz w:val="24"/>
          <w:szCs w:val="24"/>
        </w:rPr>
      </w:pPr>
    </w:p>
    <w:p w14:paraId="4EBFE40A"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 The lending institutions shall suitably disclose the following in the ‘Notes to Accounts’ while preparing their financial statements for the half year ending September 30, 2020 as well as the financial years 2019-20 and 2020-2021:</w:t>
      </w:r>
    </w:p>
    <w:p w14:paraId="329C24EE" w14:textId="77777777" w:rsidR="005C5F02" w:rsidRPr="00C902C8" w:rsidRDefault="005C5F02" w:rsidP="005C5F02">
      <w:pPr>
        <w:spacing w:after="0" w:line="240" w:lineRule="auto"/>
        <w:jc w:val="both"/>
        <w:rPr>
          <w:rFonts w:ascii="Times New Roman" w:hAnsi="Times New Roman" w:cs="Times New Roman"/>
          <w:sz w:val="24"/>
          <w:szCs w:val="24"/>
        </w:rPr>
      </w:pPr>
    </w:p>
    <w:p w14:paraId="2B419B60"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xml:space="preserve">) Respective amounts in </w:t>
      </w:r>
      <w:proofErr w:type="spellStart"/>
      <w:r w:rsidRPr="00C902C8">
        <w:rPr>
          <w:rFonts w:ascii="Times New Roman" w:hAnsi="Times New Roman" w:cs="Times New Roman"/>
          <w:sz w:val="24"/>
          <w:szCs w:val="24"/>
        </w:rPr>
        <w:t>SMA</w:t>
      </w:r>
      <w:proofErr w:type="spellEnd"/>
      <w:r w:rsidRPr="00C902C8">
        <w:rPr>
          <w:rFonts w:ascii="Times New Roman" w:hAnsi="Times New Roman" w:cs="Times New Roman"/>
          <w:sz w:val="24"/>
          <w:szCs w:val="24"/>
        </w:rPr>
        <w:t xml:space="preserve">/overdue categories, where the moratorium/deferment was extended, in terms of paragraph 2 and </w:t>
      </w:r>
      <w:proofErr w:type="gramStart"/>
      <w:r w:rsidRPr="00C902C8">
        <w:rPr>
          <w:rFonts w:ascii="Times New Roman" w:hAnsi="Times New Roman" w:cs="Times New Roman"/>
          <w:sz w:val="24"/>
          <w:szCs w:val="24"/>
        </w:rPr>
        <w:t>3;</w:t>
      </w:r>
      <w:proofErr w:type="gramEnd"/>
    </w:p>
    <w:p w14:paraId="0EF26E58" w14:textId="77777777" w:rsidR="005C5F02" w:rsidRPr="00C902C8" w:rsidRDefault="005C5F02" w:rsidP="005C5F02">
      <w:pPr>
        <w:spacing w:after="0" w:line="240" w:lineRule="auto"/>
        <w:jc w:val="both"/>
        <w:rPr>
          <w:rFonts w:ascii="Times New Roman" w:hAnsi="Times New Roman" w:cs="Times New Roman"/>
          <w:sz w:val="24"/>
          <w:szCs w:val="24"/>
        </w:rPr>
      </w:pPr>
    </w:p>
    <w:p w14:paraId="057FEFDA"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(ii) Respective amount where asset classification benefits </w:t>
      </w:r>
      <w:proofErr w:type="gramStart"/>
      <w:r w:rsidRPr="00C902C8">
        <w:rPr>
          <w:rFonts w:ascii="Times New Roman" w:hAnsi="Times New Roman" w:cs="Times New Roman"/>
          <w:sz w:val="24"/>
          <w:szCs w:val="24"/>
        </w:rPr>
        <w:t>is</w:t>
      </w:r>
      <w:proofErr w:type="gramEnd"/>
      <w:r w:rsidRPr="00C902C8">
        <w:rPr>
          <w:rFonts w:ascii="Times New Roman" w:hAnsi="Times New Roman" w:cs="Times New Roman"/>
          <w:sz w:val="24"/>
          <w:szCs w:val="24"/>
        </w:rPr>
        <w:t xml:space="preserve"> extended.</w:t>
      </w:r>
    </w:p>
    <w:p w14:paraId="1821356C" w14:textId="77777777" w:rsidR="005C5F02" w:rsidRPr="00C902C8" w:rsidRDefault="005C5F02" w:rsidP="005C5F02">
      <w:pPr>
        <w:spacing w:after="0" w:line="240" w:lineRule="auto"/>
        <w:jc w:val="both"/>
        <w:rPr>
          <w:rFonts w:ascii="Times New Roman" w:hAnsi="Times New Roman" w:cs="Times New Roman"/>
          <w:sz w:val="24"/>
          <w:szCs w:val="24"/>
        </w:rPr>
      </w:pPr>
    </w:p>
    <w:p w14:paraId="4D0B1EB0"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(iii) Provisions made during the </w:t>
      </w:r>
      <w:proofErr w:type="spellStart"/>
      <w:r w:rsidRPr="00C902C8">
        <w:rPr>
          <w:rFonts w:ascii="Times New Roman" w:hAnsi="Times New Roman" w:cs="Times New Roman"/>
          <w:sz w:val="24"/>
          <w:szCs w:val="24"/>
        </w:rPr>
        <w:t>Q4FY2020</w:t>
      </w:r>
      <w:proofErr w:type="spellEnd"/>
      <w:r w:rsidRPr="00C902C8">
        <w:rPr>
          <w:rFonts w:ascii="Times New Roman" w:hAnsi="Times New Roman" w:cs="Times New Roman"/>
          <w:sz w:val="24"/>
          <w:szCs w:val="24"/>
        </w:rPr>
        <w:t xml:space="preserve"> and </w:t>
      </w:r>
      <w:proofErr w:type="spellStart"/>
      <w:r w:rsidRPr="00C902C8">
        <w:rPr>
          <w:rFonts w:ascii="Times New Roman" w:hAnsi="Times New Roman" w:cs="Times New Roman"/>
          <w:sz w:val="24"/>
          <w:szCs w:val="24"/>
        </w:rPr>
        <w:t>Q1FY2021</w:t>
      </w:r>
      <w:proofErr w:type="spellEnd"/>
      <w:r w:rsidRPr="00C902C8">
        <w:rPr>
          <w:rFonts w:ascii="Times New Roman" w:hAnsi="Times New Roman" w:cs="Times New Roman"/>
          <w:sz w:val="24"/>
          <w:szCs w:val="24"/>
        </w:rPr>
        <w:t xml:space="preserve"> in terms of paragraph </w:t>
      </w:r>
      <w:proofErr w:type="gramStart"/>
      <w:r w:rsidRPr="00C902C8">
        <w:rPr>
          <w:rFonts w:ascii="Times New Roman" w:hAnsi="Times New Roman" w:cs="Times New Roman"/>
          <w:sz w:val="24"/>
          <w:szCs w:val="24"/>
        </w:rPr>
        <w:t>5;</w:t>
      </w:r>
      <w:proofErr w:type="gramEnd"/>
    </w:p>
    <w:p w14:paraId="3EA53774" w14:textId="77777777" w:rsidR="005C5F02" w:rsidRPr="00C902C8" w:rsidRDefault="005C5F02" w:rsidP="005C5F02">
      <w:pPr>
        <w:spacing w:after="0" w:line="240" w:lineRule="auto"/>
        <w:jc w:val="both"/>
        <w:rPr>
          <w:rFonts w:ascii="Times New Roman" w:hAnsi="Times New Roman" w:cs="Times New Roman"/>
          <w:sz w:val="24"/>
          <w:szCs w:val="24"/>
        </w:rPr>
      </w:pPr>
    </w:p>
    <w:p w14:paraId="634D3E19"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Provisions adjusted during the respective accounting periods against slippages and the residual provisions in terms of paragraph 6.</w:t>
      </w:r>
    </w:p>
    <w:bookmarkEnd w:id="2"/>
    <w:p w14:paraId="25542092" w14:textId="77777777" w:rsidR="005C5F02" w:rsidRPr="00C902C8" w:rsidRDefault="005C5F02" w:rsidP="005C5F02">
      <w:pPr>
        <w:pBdr>
          <w:bottom w:val="single" w:sz="12" w:space="1" w:color="auto"/>
        </w:pBdr>
        <w:spacing w:after="0" w:line="240" w:lineRule="auto"/>
        <w:jc w:val="both"/>
        <w:rPr>
          <w:rFonts w:ascii="Times New Roman" w:hAnsi="Times New Roman" w:cs="Times New Roman"/>
          <w:sz w:val="24"/>
          <w:szCs w:val="24"/>
        </w:rPr>
      </w:pPr>
    </w:p>
    <w:p w14:paraId="27725290" w14:textId="77777777" w:rsidR="005C5F02" w:rsidRDefault="005C5F02" w:rsidP="005C5F02">
      <w:pPr>
        <w:spacing w:after="0" w:line="240" w:lineRule="auto"/>
        <w:jc w:val="both"/>
        <w:rPr>
          <w:rFonts w:ascii="Times New Roman" w:hAnsi="Times New Roman" w:cs="Times New Roman"/>
          <w:b/>
          <w:bCs/>
          <w:sz w:val="24"/>
          <w:szCs w:val="24"/>
        </w:rPr>
      </w:pPr>
    </w:p>
    <w:p w14:paraId="5D632E9D" w14:textId="77777777" w:rsidR="00AE747B" w:rsidRDefault="00AE747B">
      <w:pPr>
        <w:rPr>
          <w:rFonts w:ascii="Times New Roman" w:hAnsi="Times New Roman" w:cs="Times New Roman"/>
          <w:b/>
          <w:bCs/>
          <w:sz w:val="24"/>
          <w:szCs w:val="24"/>
        </w:rPr>
      </w:pPr>
      <w:bookmarkStart w:id="3" w:name="_Hlk43632101"/>
      <w:r>
        <w:rPr>
          <w:rFonts w:ascii="Times New Roman" w:hAnsi="Times New Roman" w:cs="Times New Roman"/>
          <w:b/>
          <w:bCs/>
          <w:sz w:val="24"/>
          <w:szCs w:val="24"/>
        </w:rPr>
        <w:br w:type="page"/>
      </w:r>
    </w:p>
    <w:p w14:paraId="5E8E50B0" w14:textId="036539B3" w:rsidR="005C5F02"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Large Exposures Framework – Increase in Exposure to a Group of Connected Counterparties</w:t>
      </w:r>
    </w:p>
    <w:p w14:paraId="14BA6714" w14:textId="77777777" w:rsidR="005C5F02" w:rsidRPr="00C902C8" w:rsidRDefault="005C5F02" w:rsidP="005C5F02">
      <w:pPr>
        <w:spacing w:after="0" w:line="240" w:lineRule="auto"/>
        <w:jc w:val="both"/>
        <w:rPr>
          <w:rFonts w:ascii="Times New Roman" w:hAnsi="Times New Roman" w:cs="Times New Roman"/>
          <w:b/>
          <w:bCs/>
          <w:sz w:val="24"/>
          <w:szCs w:val="24"/>
        </w:rPr>
      </w:pPr>
    </w:p>
    <w:p w14:paraId="4E111666"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RBI/2019-20/243 </w:t>
      </w:r>
      <w:proofErr w:type="spellStart"/>
      <w:r w:rsidRPr="00C902C8">
        <w:rPr>
          <w:rFonts w:ascii="Times New Roman" w:hAnsi="Times New Roman" w:cs="Times New Roman"/>
          <w:sz w:val="24"/>
          <w:szCs w:val="24"/>
        </w:rPr>
        <w:t>DOR.No.BP.BC.70</w:t>
      </w:r>
      <w:proofErr w:type="spellEnd"/>
      <w:r w:rsidRPr="00C902C8">
        <w:rPr>
          <w:rFonts w:ascii="Times New Roman" w:hAnsi="Times New Roman" w:cs="Times New Roman"/>
          <w:sz w:val="24"/>
          <w:szCs w:val="24"/>
        </w:rPr>
        <w:t xml:space="preserve">/21.01.003/2019-20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23, 2020</w:t>
      </w:r>
    </w:p>
    <w:p w14:paraId="00952060" w14:textId="77777777" w:rsidR="005C5F02" w:rsidRPr="00C902C8" w:rsidRDefault="005C5F02" w:rsidP="005C5F02">
      <w:pPr>
        <w:spacing w:after="0" w:line="240" w:lineRule="auto"/>
        <w:jc w:val="both"/>
        <w:rPr>
          <w:rFonts w:ascii="Times New Roman" w:hAnsi="Times New Roman" w:cs="Times New Roman"/>
          <w:sz w:val="24"/>
          <w:szCs w:val="24"/>
        </w:rPr>
      </w:pPr>
    </w:p>
    <w:p w14:paraId="7407A3C4"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w:t>
      </w:r>
    </w:p>
    <w:p w14:paraId="64228C70"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(Excluding Regional Rural Banks)</w:t>
      </w:r>
    </w:p>
    <w:p w14:paraId="1C72A232" w14:textId="77777777" w:rsidR="005C5F02" w:rsidRPr="00C902C8" w:rsidRDefault="005C5F02" w:rsidP="005C5F02">
      <w:pPr>
        <w:spacing w:after="0" w:line="240" w:lineRule="auto"/>
        <w:jc w:val="both"/>
        <w:rPr>
          <w:rFonts w:ascii="Times New Roman" w:hAnsi="Times New Roman" w:cs="Times New Roman"/>
          <w:sz w:val="24"/>
          <w:szCs w:val="24"/>
        </w:rPr>
      </w:pPr>
    </w:p>
    <w:p w14:paraId="74C51527"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our circular </w:t>
      </w:r>
      <w:proofErr w:type="spellStart"/>
      <w:r w:rsidRPr="00C902C8">
        <w:rPr>
          <w:rFonts w:ascii="Times New Roman" w:hAnsi="Times New Roman" w:cs="Times New Roman"/>
          <w:sz w:val="24"/>
          <w:szCs w:val="24"/>
        </w:rPr>
        <w:t>No.DBR.No.BP.BC.43</w:t>
      </w:r>
      <w:proofErr w:type="spellEnd"/>
      <w:r w:rsidRPr="00C902C8">
        <w:rPr>
          <w:rFonts w:ascii="Times New Roman" w:hAnsi="Times New Roman" w:cs="Times New Roman"/>
          <w:sz w:val="24"/>
          <w:szCs w:val="24"/>
        </w:rPr>
        <w:t>/21.01.003/2018-19 dated June 03, 2019 on the captioned subject. In terms of para 5.2 of the circular, the sum of all the exposure values of a bank to a group of connected counterparties must not be higher than 25 percent of the bank’s available eligible capital base at all times.</w:t>
      </w:r>
    </w:p>
    <w:p w14:paraId="47C973D3" w14:textId="77777777" w:rsidR="005C5F02" w:rsidRPr="00C902C8" w:rsidRDefault="005C5F02" w:rsidP="005C5F02">
      <w:pPr>
        <w:spacing w:after="0" w:line="240" w:lineRule="auto"/>
        <w:jc w:val="both"/>
        <w:rPr>
          <w:rFonts w:ascii="Times New Roman" w:hAnsi="Times New Roman" w:cs="Times New Roman"/>
          <w:sz w:val="24"/>
          <w:szCs w:val="24"/>
        </w:rPr>
      </w:pPr>
    </w:p>
    <w:p w14:paraId="166D4CD5"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On account of the COVID-19 pandemic, debt markets and other capital market segments are witnessing heightened uncertainty. As a result, many corporates are finding it difficult to raise funds from the capital market and are predominantly dependent on funding from banks. Therefore, with a view to facilitate greater flow of resources to corporates, it has been decided, as a one-time measure, to increase a bank’s exposure to a group of connected counterparties from 25% to 30% of the eligible capital base of the bank.</w:t>
      </w:r>
    </w:p>
    <w:p w14:paraId="7A293F6C" w14:textId="77777777" w:rsidR="005C5F02" w:rsidRPr="00C902C8" w:rsidRDefault="005C5F02" w:rsidP="005C5F02">
      <w:pPr>
        <w:spacing w:after="0" w:line="240" w:lineRule="auto"/>
        <w:jc w:val="both"/>
        <w:rPr>
          <w:rFonts w:ascii="Times New Roman" w:hAnsi="Times New Roman" w:cs="Times New Roman"/>
          <w:sz w:val="24"/>
          <w:szCs w:val="24"/>
        </w:rPr>
      </w:pPr>
    </w:p>
    <w:p w14:paraId="1B730D58"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The increased limit will be applicable up to June 30, 2021.</w:t>
      </w:r>
    </w:p>
    <w:bookmarkEnd w:id="3"/>
    <w:p w14:paraId="27D3AD3B" w14:textId="77777777" w:rsidR="005C5F02" w:rsidRPr="00C902C8" w:rsidRDefault="005C5F02" w:rsidP="005C5F02">
      <w:pPr>
        <w:pBdr>
          <w:bottom w:val="single" w:sz="12" w:space="1" w:color="auto"/>
        </w:pBdr>
        <w:spacing w:after="0" w:line="240" w:lineRule="auto"/>
        <w:jc w:val="both"/>
        <w:rPr>
          <w:rFonts w:ascii="Times New Roman" w:hAnsi="Times New Roman" w:cs="Times New Roman"/>
          <w:sz w:val="24"/>
          <w:szCs w:val="24"/>
        </w:rPr>
      </w:pPr>
    </w:p>
    <w:p w14:paraId="7EA9761D" w14:textId="77777777" w:rsidR="005C5F02" w:rsidRPr="00C902C8" w:rsidRDefault="005C5F02" w:rsidP="005C5F02">
      <w:pPr>
        <w:spacing w:after="0" w:line="240" w:lineRule="auto"/>
        <w:jc w:val="both"/>
        <w:rPr>
          <w:rFonts w:ascii="Times New Roman" w:hAnsi="Times New Roman" w:cs="Times New Roman"/>
          <w:sz w:val="24"/>
          <w:szCs w:val="24"/>
        </w:rPr>
      </w:pPr>
    </w:p>
    <w:p w14:paraId="5348622E" w14:textId="77777777" w:rsidR="005C5F02" w:rsidRDefault="005C5F02" w:rsidP="005C5F02">
      <w:pPr>
        <w:spacing w:after="0" w:line="240" w:lineRule="auto"/>
        <w:jc w:val="both"/>
        <w:rPr>
          <w:rFonts w:ascii="Times New Roman" w:hAnsi="Times New Roman" w:cs="Times New Roman"/>
          <w:b/>
          <w:bCs/>
          <w:sz w:val="24"/>
          <w:szCs w:val="24"/>
        </w:rPr>
      </w:pPr>
      <w:bookmarkStart w:id="4" w:name="_Hlk43631915"/>
      <w:r w:rsidRPr="00C902C8">
        <w:rPr>
          <w:rFonts w:ascii="Times New Roman" w:hAnsi="Times New Roman" w:cs="Times New Roman"/>
          <w:b/>
          <w:bCs/>
          <w:sz w:val="24"/>
          <w:szCs w:val="24"/>
        </w:rPr>
        <w:t xml:space="preserve">COVID-19 – Regulatory Package </w:t>
      </w:r>
    </w:p>
    <w:p w14:paraId="1AEB56E7" w14:textId="77777777" w:rsidR="005C5F02" w:rsidRPr="00C902C8" w:rsidRDefault="005C5F02" w:rsidP="005C5F02">
      <w:pPr>
        <w:spacing w:after="0" w:line="240" w:lineRule="auto"/>
        <w:jc w:val="both"/>
        <w:rPr>
          <w:rFonts w:ascii="Times New Roman" w:hAnsi="Times New Roman" w:cs="Times New Roman"/>
          <w:b/>
          <w:bCs/>
          <w:sz w:val="24"/>
          <w:szCs w:val="24"/>
        </w:rPr>
      </w:pPr>
    </w:p>
    <w:p w14:paraId="5171ADBD"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RBI/2019-20/244 </w:t>
      </w:r>
      <w:proofErr w:type="spellStart"/>
      <w:r w:rsidRPr="00C902C8">
        <w:rPr>
          <w:rFonts w:ascii="Times New Roman" w:hAnsi="Times New Roman" w:cs="Times New Roman"/>
          <w:sz w:val="24"/>
          <w:szCs w:val="24"/>
        </w:rPr>
        <w:t>DOR.No.BP.BC.71</w:t>
      </w:r>
      <w:proofErr w:type="spellEnd"/>
      <w:r w:rsidRPr="00C902C8">
        <w:rPr>
          <w:rFonts w:ascii="Times New Roman" w:hAnsi="Times New Roman" w:cs="Times New Roman"/>
          <w:sz w:val="24"/>
          <w:szCs w:val="24"/>
        </w:rPr>
        <w:t xml:space="preserve">/21.04.048/2019-20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23, 2020</w:t>
      </w:r>
    </w:p>
    <w:p w14:paraId="112312FD" w14:textId="77777777" w:rsidR="005C5F02" w:rsidRPr="00C902C8" w:rsidRDefault="005C5F02" w:rsidP="005C5F02">
      <w:pPr>
        <w:spacing w:after="0" w:line="240" w:lineRule="auto"/>
        <w:jc w:val="both"/>
        <w:rPr>
          <w:rFonts w:ascii="Times New Roman" w:hAnsi="Times New Roman" w:cs="Times New Roman"/>
          <w:sz w:val="24"/>
          <w:szCs w:val="24"/>
        </w:rPr>
      </w:pPr>
    </w:p>
    <w:p w14:paraId="099C39E6"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Commercial Banks (including Small Finance Banks, Local Area Banks and Regional Rural Banks)/All Primary (Urban) Co-operative Banks/State Co-operative Banks/ District Central Co-operative Banks/All All-India Financial Institutions /All Non-Banking Financial Companies (including Housing Finance Companies)</w:t>
      </w:r>
    </w:p>
    <w:p w14:paraId="4965D2B1" w14:textId="77777777" w:rsidR="005C5F02" w:rsidRPr="00C902C8" w:rsidRDefault="005C5F02" w:rsidP="005C5F02">
      <w:pPr>
        <w:spacing w:after="0" w:line="240" w:lineRule="auto"/>
        <w:jc w:val="both"/>
        <w:rPr>
          <w:rFonts w:ascii="Times New Roman" w:hAnsi="Times New Roman" w:cs="Times New Roman"/>
          <w:sz w:val="24"/>
          <w:szCs w:val="24"/>
        </w:rPr>
      </w:pPr>
    </w:p>
    <w:p w14:paraId="6250BB99"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Circular </w:t>
      </w:r>
      <w:proofErr w:type="spellStart"/>
      <w:r w:rsidRPr="00C902C8">
        <w:rPr>
          <w:rFonts w:ascii="Times New Roman" w:hAnsi="Times New Roman" w:cs="Times New Roman"/>
          <w:sz w:val="24"/>
          <w:szCs w:val="24"/>
        </w:rPr>
        <w:t>DOR.No.BP.BC.47</w:t>
      </w:r>
      <w:proofErr w:type="spellEnd"/>
      <w:r w:rsidRPr="00C902C8">
        <w:rPr>
          <w:rFonts w:ascii="Times New Roman" w:hAnsi="Times New Roman" w:cs="Times New Roman"/>
          <w:sz w:val="24"/>
          <w:szCs w:val="24"/>
        </w:rPr>
        <w:t xml:space="preserve">/21.04.048/2019-20 dated March 27, 2020 and Circular </w:t>
      </w:r>
      <w:proofErr w:type="spellStart"/>
      <w:r w:rsidRPr="00C902C8">
        <w:rPr>
          <w:rFonts w:ascii="Times New Roman" w:hAnsi="Times New Roman" w:cs="Times New Roman"/>
          <w:sz w:val="24"/>
          <w:szCs w:val="24"/>
        </w:rPr>
        <w:t>DOR.No.BP.BC.63</w:t>
      </w:r>
      <w:proofErr w:type="spellEnd"/>
      <w:r w:rsidRPr="00C902C8">
        <w:rPr>
          <w:rFonts w:ascii="Times New Roman" w:hAnsi="Times New Roman" w:cs="Times New Roman"/>
          <w:sz w:val="24"/>
          <w:szCs w:val="24"/>
        </w:rPr>
        <w:t>/21.04.048/2019-20 dated April 17, 2020 announcing certain regulatory measures in the wake of the disruptions on account of COVID-19 pandemic and the consequent asset classification and provisioning norms. As announced in the Governor’s Statement of May 22, 2020, the intensification of COVID-19 disruptions has imparted priority to relaxing repayment pressures and improving access to working capital by mitigating the burden of debt servicing, prevent the transmission of financial stress to the real economy, and ensure the continuity of viable businesses and households. Consequently, the detailed instructions in this regard are as follows:</w:t>
      </w:r>
    </w:p>
    <w:p w14:paraId="4E39BA9E" w14:textId="77777777" w:rsidR="005C5F02" w:rsidRPr="00C902C8" w:rsidRDefault="005C5F02" w:rsidP="005C5F02">
      <w:pPr>
        <w:spacing w:after="0" w:line="240" w:lineRule="auto"/>
        <w:jc w:val="both"/>
        <w:rPr>
          <w:rFonts w:ascii="Times New Roman" w:hAnsi="Times New Roman" w:cs="Times New Roman"/>
          <w:sz w:val="24"/>
          <w:szCs w:val="24"/>
        </w:rPr>
      </w:pPr>
    </w:p>
    <w:p w14:paraId="17B917AB" w14:textId="77777777" w:rsidR="005C5F02" w:rsidRPr="00C902C8"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w:t>
      </w:r>
      <w:proofErr w:type="spellStart"/>
      <w:r w:rsidRPr="00C902C8">
        <w:rPr>
          <w:rFonts w:ascii="Times New Roman" w:hAnsi="Times New Roman" w:cs="Times New Roman"/>
          <w:b/>
          <w:bCs/>
          <w:sz w:val="24"/>
          <w:szCs w:val="24"/>
        </w:rPr>
        <w:t>i</w:t>
      </w:r>
      <w:proofErr w:type="spellEnd"/>
      <w:r w:rsidRPr="00C902C8">
        <w:rPr>
          <w:rFonts w:ascii="Times New Roman" w:hAnsi="Times New Roman" w:cs="Times New Roman"/>
          <w:b/>
          <w:bCs/>
          <w:sz w:val="24"/>
          <w:szCs w:val="24"/>
        </w:rPr>
        <w:t>) Rescheduling of Payments – Term Loans and Working Capital Facilities</w:t>
      </w:r>
    </w:p>
    <w:p w14:paraId="32CDAD8D" w14:textId="77777777" w:rsidR="005C5F02" w:rsidRPr="00C902C8" w:rsidRDefault="005C5F02" w:rsidP="005C5F02">
      <w:pPr>
        <w:spacing w:after="0" w:line="240" w:lineRule="auto"/>
        <w:jc w:val="both"/>
        <w:rPr>
          <w:rFonts w:ascii="Times New Roman" w:hAnsi="Times New Roman" w:cs="Times New Roman"/>
          <w:sz w:val="24"/>
          <w:szCs w:val="24"/>
        </w:rPr>
      </w:pPr>
    </w:p>
    <w:p w14:paraId="1787B711"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view of the extension of lockdown and continuing disruption on account of COVID-19, all commercial banks (including regional rural banks, small finance banks and local area banks), co-operative banks, All-India Financial Institutions, and Non-banking Financial Companies (including housing finance companies) (“lending institutions”) are permitted to extend the moratorium by another three months i.e. from June 1, 2020 to August 31, 2020 on payment of all instalments in respect of term loans (including agricultural term loans, retail and </w:t>
      </w:r>
      <w:r w:rsidRPr="00C902C8">
        <w:rPr>
          <w:rFonts w:ascii="Times New Roman" w:hAnsi="Times New Roman" w:cs="Times New Roman"/>
          <w:sz w:val="24"/>
          <w:szCs w:val="24"/>
        </w:rPr>
        <w:lastRenderedPageBreak/>
        <w:t>crop loans). Accordingly, the repayment schedule for such loans as also the residual tenor, will be shifted across the board. Interest shall continue to accrue on the outstanding portion of the term loans during the moratorium period.</w:t>
      </w:r>
    </w:p>
    <w:p w14:paraId="4C86CD88" w14:textId="77777777" w:rsidR="005C5F02" w:rsidRPr="00C902C8" w:rsidRDefault="005C5F02" w:rsidP="005C5F02">
      <w:pPr>
        <w:spacing w:after="0" w:line="240" w:lineRule="auto"/>
        <w:jc w:val="both"/>
        <w:rPr>
          <w:rFonts w:ascii="Times New Roman" w:hAnsi="Times New Roman" w:cs="Times New Roman"/>
          <w:sz w:val="24"/>
          <w:szCs w:val="24"/>
        </w:rPr>
      </w:pPr>
    </w:p>
    <w:p w14:paraId="6A87C9BF" w14:textId="40397B50" w:rsidR="005C5F02"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respect of working capital facilities sanctioned in the form of cash credit/overdraft (“CC/OD”), lending institutions are permitted to allow a deferment of another three months, from June 1, 2020 to August 31, 2020, on recovery of interest applied in respect of all such facilities. Lending institutions are permitted, at their discretion, to convert the accumulated interest for the deferment period up to August 31, 2020, into a funded interest term loan (</w:t>
      </w:r>
      <w:proofErr w:type="spellStart"/>
      <w:r w:rsidRPr="00C902C8">
        <w:rPr>
          <w:rFonts w:ascii="Times New Roman" w:hAnsi="Times New Roman" w:cs="Times New Roman"/>
          <w:sz w:val="24"/>
          <w:szCs w:val="24"/>
        </w:rPr>
        <w:t>FITL</w:t>
      </w:r>
      <w:proofErr w:type="spellEnd"/>
      <w:r w:rsidRPr="00C902C8">
        <w:rPr>
          <w:rFonts w:ascii="Times New Roman" w:hAnsi="Times New Roman" w:cs="Times New Roman"/>
          <w:sz w:val="24"/>
          <w:szCs w:val="24"/>
        </w:rPr>
        <w:t>) which shall be repayable not later than March 31, 2021.</w:t>
      </w:r>
    </w:p>
    <w:p w14:paraId="7653A170" w14:textId="77777777" w:rsidR="005C5F02" w:rsidRPr="00C902C8" w:rsidRDefault="005C5F02" w:rsidP="005C5F02">
      <w:pPr>
        <w:spacing w:after="0" w:line="240" w:lineRule="auto"/>
        <w:jc w:val="both"/>
        <w:rPr>
          <w:rFonts w:ascii="Times New Roman" w:hAnsi="Times New Roman" w:cs="Times New Roman"/>
          <w:sz w:val="24"/>
          <w:szCs w:val="24"/>
        </w:rPr>
      </w:pPr>
    </w:p>
    <w:p w14:paraId="01654BF7" w14:textId="77777777" w:rsidR="005C5F02" w:rsidRPr="00C902C8"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(ii) Easing of Working Capital Financing</w:t>
      </w:r>
    </w:p>
    <w:p w14:paraId="261FE307" w14:textId="77777777" w:rsidR="005C5F02" w:rsidRPr="00C902C8" w:rsidRDefault="005C5F02" w:rsidP="005C5F02">
      <w:pPr>
        <w:spacing w:after="0" w:line="240" w:lineRule="auto"/>
        <w:jc w:val="both"/>
        <w:rPr>
          <w:rFonts w:ascii="Times New Roman" w:hAnsi="Times New Roman" w:cs="Times New Roman"/>
          <w:sz w:val="24"/>
          <w:szCs w:val="24"/>
        </w:rPr>
      </w:pPr>
    </w:p>
    <w:p w14:paraId="30554209"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In respect of working capital facilities sanctioned in the form of CC/OD to borrowers facing stress on account of the economic fallout of the pandemic, lending institutions may, as a one-time measure,</w:t>
      </w:r>
    </w:p>
    <w:p w14:paraId="51D324FA" w14:textId="77777777" w:rsidR="005C5F02" w:rsidRPr="00C902C8" w:rsidRDefault="005C5F02" w:rsidP="005C5F02">
      <w:pPr>
        <w:spacing w:after="0" w:line="240" w:lineRule="auto"/>
        <w:jc w:val="both"/>
        <w:rPr>
          <w:rFonts w:ascii="Times New Roman" w:hAnsi="Times New Roman" w:cs="Times New Roman"/>
          <w:sz w:val="24"/>
          <w:szCs w:val="24"/>
        </w:rPr>
      </w:pPr>
    </w:p>
    <w:p w14:paraId="2C3E7AE1"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recalculate the ‘drawing power’ by reducing the margins till August 31, 2020. However, in all such cases where such a temporary enhancement in drawing power is considered, the margins shall be restored to the original levels by March 31, 2021; and/or,</w:t>
      </w:r>
    </w:p>
    <w:p w14:paraId="73FCC2AE" w14:textId="77777777" w:rsidR="005C5F02" w:rsidRPr="00C902C8" w:rsidRDefault="005C5F02" w:rsidP="005C5F02">
      <w:pPr>
        <w:spacing w:after="0" w:line="240" w:lineRule="auto"/>
        <w:jc w:val="both"/>
        <w:rPr>
          <w:rFonts w:ascii="Times New Roman" w:hAnsi="Times New Roman" w:cs="Times New Roman"/>
          <w:sz w:val="24"/>
          <w:szCs w:val="24"/>
        </w:rPr>
      </w:pPr>
    </w:p>
    <w:p w14:paraId="42C58F36"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(ii) review the working capital sanctioned limits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March 31, 2021, based on a reassessment of the working capital cycle.</w:t>
      </w:r>
    </w:p>
    <w:p w14:paraId="3013EA27" w14:textId="77777777" w:rsidR="005C5F02" w:rsidRPr="00C902C8" w:rsidRDefault="005C5F02" w:rsidP="005C5F02">
      <w:pPr>
        <w:spacing w:after="0" w:line="240" w:lineRule="auto"/>
        <w:jc w:val="both"/>
        <w:rPr>
          <w:rFonts w:ascii="Times New Roman" w:hAnsi="Times New Roman" w:cs="Times New Roman"/>
          <w:sz w:val="24"/>
          <w:szCs w:val="24"/>
        </w:rPr>
      </w:pPr>
    </w:p>
    <w:p w14:paraId="070AA45A"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3E4FBD6E" w14:textId="77777777" w:rsidR="005C5F02" w:rsidRPr="00C902C8" w:rsidRDefault="005C5F02" w:rsidP="005C5F02">
      <w:pPr>
        <w:spacing w:after="0" w:line="240" w:lineRule="auto"/>
        <w:jc w:val="both"/>
        <w:rPr>
          <w:rFonts w:ascii="Times New Roman" w:hAnsi="Times New Roman" w:cs="Times New Roman"/>
          <w:sz w:val="24"/>
          <w:szCs w:val="24"/>
        </w:rPr>
      </w:pPr>
    </w:p>
    <w:p w14:paraId="1422E94C"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Lending institutions may, accordingly, put in place a Board approved policy to implement the above measures.</w:t>
      </w:r>
    </w:p>
    <w:p w14:paraId="1A5CD543" w14:textId="77777777" w:rsidR="005C5F02" w:rsidRPr="00C902C8" w:rsidRDefault="005C5F02" w:rsidP="005C5F02">
      <w:pPr>
        <w:spacing w:after="0" w:line="240" w:lineRule="auto"/>
        <w:jc w:val="both"/>
        <w:rPr>
          <w:rFonts w:ascii="Times New Roman" w:hAnsi="Times New Roman" w:cs="Times New Roman"/>
          <w:sz w:val="24"/>
          <w:szCs w:val="24"/>
        </w:rPr>
      </w:pPr>
    </w:p>
    <w:p w14:paraId="766E3E35" w14:textId="77777777" w:rsidR="005C5F02" w:rsidRPr="00C902C8" w:rsidRDefault="005C5F02" w:rsidP="005C5F02">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Asset Classification</w:t>
      </w:r>
    </w:p>
    <w:p w14:paraId="7E557368" w14:textId="77777777" w:rsidR="005C5F02" w:rsidRPr="00C902C8" w:rsidRDefault="005C5F02" w:rsidP="005C5F02">
      <w:pPr>
        <w:spacing w:after="0" w:line="240" w:lineRule="auto"/>
        <w:jc w:val="both"/>
        <w:rPr>
          <w:rFonts w:ascii="Times New Roman" w:hAnsi="Times New Roman" w:cs="Times New Roman"/>
          <w:sz w:val="24"/>
          <w:szCs w:val="24"/>
        </w:rPr>
      </w:pPr>
    </w:p>
    <w:p w14:paraId="2F395C3C"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7. The conversion of accumulated interest into </w:t>
      </w:r>
      <w:proofErr w:type="spellStart"/>
      <w:r w:rsidRPr="00C902C8">
        <w:rPr>
          <w:rFonts w:ascii="Times New Roman" w:hAnsi="Times New Roman" w:cs="Times New Roman"/>
          <w:sz w:val="24"/>
          <w:szCs w:val="24"/>
        </w:rPr>
        <w:t>FITL</w:t>
      </w:r>
      <w:proofErr w:type="spellEnd"/>
      <w:r w:rsidRPr="00C902C8">
        <w:rPr>
          <w:rFonts w:ascii="Times New Roman" w:hAnsi="Times New Roman" w:cs="Times New Roman"/>
          <w:sz w:val="24"/>
          <w:szCs w:val="24"/>
        </w:rPr>
        <w:t>, as permitted in terms of paragraph 3 above, and the changes in the credit terms permitted to the borrowers to specifically tide over economic fallout from COVID-19 in terms of paragraph 4 above, will not be treated as concessions granted due to financial difficulty of the borrower, under Paragraph 2 of the Annex to the Reserve Bank of India (Prudential Framework for Resolution of Stressed Assets) Directions, 2019 dated June 7, 2019 (‘Prudential Framework’), and consequently, will not result in asset classification downgrade.</w:t>
      </w:r>
    </w:p>
    <w:p w14:paraId="46944296" w14:textId="77777777" w:rsidR="005C5F02" w:rsidRPr="00C902C8" w:rsidRDefault="005C5F02" w:rsidP="005C5F02">
      <w:pPr>
        <w:spacing w:after="0" w:line="240" w:lineRule="auto"/>
        <w:jc w:val="both"/>
        <w:rPr>
          <w:rFonts w:ascii="Times New Roman" w:hAnsi="Times New Roman" w:cs="Times New Roman"/>
          <w:sz w:val="24"/>
          <w:szCs w:val="24"/>
        </w:rPr>
      </w:pPr>
    </w:p>
    <w:p w14:paraId="40CB57B3"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8. In respect of accounts classified as standard as on February 29, 2020, even if overdue, the moratorium period, wherever granted in respect of term loans, shall be excluded by the lending institutions from the number of days past-due for the purpose of asset classification under the </w:t>
      </w:r>
      <w:proofErr w:type="spellStart"/>
      <w:r w:rsidRPr="00C902C8">
        <w:rPr>
          <w:rFonts w:ascii="Times New Roman" w:hAnsi="Times New Roman" w:cs="Times New Roman"/>
          <w:sz w:val="24"/>
          <w:szCs w:val="24"/>
        </w:rPr>
        <w:t>IRAC</w:t>
      </w:r>
      <w:proofErr w:type="spellEnd"/>
      <w:r w:rsidRPr="00C902C8">
        <w:rPr>
          <w:rFonts w:ascii="Times New Roman" w:hAnsi="Times New Roman" w:cs="Times New Roman"/>
          <w:sz w:val="24"/>
          <w:szCs w:val="24"/>
        </w:rPr>
        <w:t xml:space="preserve"> norms. The asset classification for such accounts shall be determined on the basis of revised due dates and the revised repayment schedule.</w:t>
      </w:r>
    </w:p>
    <w:p w14:paraId="53F03462" w14:textId="77777777" w:rsidR="005C5F02" w:rsidRPr="00C902C8" w:rsidRDefault="005C5F02" w:rsidP="005C5F02">
      <w:pPr>
        <w:spacing w:after="0" w:line="240" w:lineRule="auto"/>
        <w:jc w:val="both"/>
        <w:rPr>
          <w:rFonts w:ascii="Times New Roman" w:hAnsi="Times New Roman" w:cs="Times New Roman"/>
          <w:sz w:val="24"/>
          <w:szCs w:val="24"/>
        </w:rPr>
      </w:pPr>
    </w:p>
    <w:p w14:paraId="411682F2"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9. Similarly, in respect of working capital facilities sanctioned in the form of cash credit/overdraft (“CC/OD”), where the account is classified as standard, including </w:t>
      </w:r>
      <w:proofErr w:type="spellStart"/>
      <w:r w:rsidRPr="00C902C8">
        <w:rPr>
          <w:rFonts w:ascii="Times New Roman" w:hAnsi="Times New Roman" w:cs="Times New Roman"/>
          <w:sz w:val="24"/>
          <w:szCs w:val="24"/>
        </w:rPr>
        <w:t>SMA</w:t>
      </w:r>
      <w:proofErr w:type="spellEnd"/>
      <w:r w:rsidRPr="00C902C8">
        <w:rPr>
          <w:rFonts w:ascii="Times New Roman" w:hAnsi="Times New Roman" w:cs="Times New Roman"/>
          <w:sz w:val="24"/>
          <w:szCs w:val="24"/>
        </w:rPr>
        <w:t xml:space="preserve">, as on </w:t>
      </w:r>
      <w:r w:rsidRPr="00C902C8">
        <w:rPr>
          <w:rFonts w:ascii="Times New Roman" w:hAnsi="Times New Roman" w:cs="Times New Roman"/>
          <w:sz w:val="24"/>
          <w:szCs w:val="24"/>
        </w:rPr>
        <w:lastRenderedPageBreak/>
        <w:t>February 29, 2020, the deferment period, wherever granted in terms of paragraph 3 above shall be excluded for the determination of out of order status.</w:t>
      </w:r>
    </w:p>
    <w:p w14:paraId="17AA549C" w14:textId="77777777" w:rsidR="005C5F02" w:rsidRPr="00C902C8" w:rsidRDefault="005C5F02" w:rsidP="005C5F02">
      <w:pPr>
        <w:spacing w:after="0" w:line="240" w:lineRule="auto"/>
        <w:jc w:val="both"/>
        <w:rPr>
          <w:rFonts w:ascii="Times New Roman" w:hAnsi="Times New Roman" w:cs="Times New Roman"/>
          <w:sz w:val="24"/>
          <w:szCs w:val="24"/>
        </w:rPr>
      </w:pPr>
    </w:p>
    <w:p w14:paraId="7C7C9E37"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 All other provisions of circulars dated March 27, 2020 and April 17, 2020 shall remain applicable mutatis mutandis.</w:t>
      </w:r>
    </w:p>
    <w:bookmarkEnd w:id="4"/>
    <w:p w14:paraId="53CE9100" w14:textId="77777777" w:rsidR="005C5F02" w:rsidRPr="00C902C8" w:rsidRDefault="005C5F02" w:rsidP="005C5F02">
      <w:pPr>
        <w:pBdr>
          <w:bottom w:val="single" w:sz="12" w:space="1" w:color="auto"/>
        </w:pBdr>
        <w:spacing w:after="0" w:line="240" w:lineRule="auto"/>
        <w:jc w:val="both"/>
        <w:rPr>
          <w:rFonts w:ascii="Times New Roman" w:hAnsi="Times New Roman" w:cs="Times New Roman"/>
          <w:sz w:val="24"/>
          <w:szCs w:val="24"/>
        </w:rPr>
      </w:pPr>
    </w:p>
    <w:p w14:paraId="369D91EE" w14:textId="77777777" w:rsidR="005C5F02" w:rsidRDefault="005C5F02" w:rsidP="005C5F02">
      <w:pPr>
        <w:spacing w:after="0" w:line="240" w:lineRule="auto"/>
        <w:jc w:val="both"/>
        <w:rPr>
          <w:rFonts w:ascii="Times New Roman" w:hAnsi="Times New Roman" w:cs="Times New Roman"/>
          <w:b/>
          <w:bCs/>
          <w:sz w:val="24"/>
          <w:szCs w:val="24"/>
        </w:rPr>
      </w:pPr>
      <w:bookmarkStart w:id="5" w:name="_Hlk43631940"/>
    </w:p>
    <w:bookmarkEnd w:id="5"/>
    <w:p w14:paraId="5DB5F0AC" w14:textId="77777777" w:rsidR="00AE747B" w:rsidRDefault="00AE747B" w:rsidP="005C5F02">
      <w:pPr>
        <w:spacing w:after="0" w:line="240" w:lineRule="auto"/>
        <w:jc w:val="both"/>
        <w:rPr>
          <w:rFonts w:ascii="Times New Roman" w:hAnsi="Times New Roman" w:cs="Times New Roman"/>
          <w:b/>
          <w:bCs/>
          <w:sz w:val="24"/>
          <w:szCs w:val="24"/>
        </w:rPr>
      </w:pPr>
    </w:p>
    <w:p w14:paraId="34785C34" w14:textId="726311FC" w:rsidR="005C5F02" w:rsidRDefault="005C5F02" w:rsidP="005C5F02">
      <w:pPr>
        <w:spacing w:after="0" w:line="240" w:lineRule="auto"/>
        <w:jc w:val="both"/>
        <w:rPr>
          <w:rFonts w:ascii="Times New Roman" w:hAnsi="Times New Roman" w:cs="Times New Roman"/>
          <w:b/>
          <w:bCs/>
          <w:sz w:val="24"/>
          <w:szCs w:val="24"/>
        </w:rPr>
      </w:pPr>
      <w:proofErr w:type="spellStart"/>
      <w:r w:rsidRPr="00C902C8">
        <w:rPr>
          <w:rFonts w:ascii="Times New Roman" w:hAnsi="Times New Roman" w:cs="Times New Roman"/>
          <w:b/>
          <w:bCs/>
          <w:sz w:val="24"/>
          <w:szCs w:val="24"/>
        </w:rPr>
        <w:t>COVID19</w:t>
      </w:r>
      <w:proofErr w:type="spellEnd"/>
      <w:r w:rsidRPr="00C902C8">
        <w:rPr>
          <w:rFonts w:ascii="Times New Roman" w:hAnsi="Times New Roman" w:cs="Times New Roman"/>
          <w:b/>
          <w:bCs/>
          <w:sz w:val="24"/>
          <w:szCs w:val="24"/>
        </w:rPr>
        <w:t xml:space="preserve"> Regulatory Package – Review of Resolution Timelines under the Prudential Framework on Resolution of Stressed Assets</w:t>
      </w:r>
    </w:p>
    <w:p w14:paraId="0875FA1B" w14:textId="77777777" w:rsidR="005C5F02" w:rsidRPr="00C902C8" w:rsidRDefault="005C5F02" w:rsidP="005C5F02">
      <w:pPr>
        <w:spacing w:after="0" w:line="240" w:lineRule="auto"/>
        <w:jc w:val="both"/>
        <w:rPr>
          <w:rFonts w:ascii="Times New Roman" w:hAnsi="Times New Roman" w:cs="Times New Roman"/>
          <w:b/>
          <w:bCs/>
          <w:sz w:val="24"/>
          <w:szCs w:val="24"/>
        </w:rPr>
      </w:pPr>
    </w:p>
    <w:p w14:paraId="31088EAA"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RBI/2019-20/245 </w:t>
      </w:r>
      <w:proofErr w:type="spellStart"/>
      <w:r w:rsidRPr="00C902C8">
        <w:rPr>
          <w:rFonts w:ascii="Times New Roman" w:hAnsi="Times New Roman" w:cs="Times New Roman"/>
          <w:sz w:val="24"/>
          <w:szCs w:val="24"/>
        </w:rPr>
        <w:t>DOR.No.BP.BC.72</w:t>
      </w:r>
      <w:proofErr w:type="spellEnd"/>
      <w:r w:rsidRPr="00C902C8">
        <w:rPr>
          <w:rFonts w:ascii="Times New Roman" w:hAnsi="Times New Roman" w:cs="Times New Roman"/>
          <w:sz w:val="24"/>
          <w:szCs w:val="24"/>
        </w:rPr>
        <w:t xml:space="preserve">/21.04.048/2019-20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23, 2020</w:t>
      </w:r>
    </w:p>
    <w:p w14:paraId="3055D3B8" w14:textId="77777777" w:rsidR="005C5F02" w:rsidRPr="00C902C8" w:rsidRDefault="005C5F02" w:rsidP="005C5F02">
      <w:pPr>
        <w:spacing w:after="0" w:line="240" w:lineRule="auto"/>
        <w:jc w:val="both"/>
        <w:rPr>
          <w:rFonts w:ascii="Times New Roman" w:hAnsi="Times New Roman" w:cs="Times New Roman"/>
          <w:sz w:val="24"/>
          <w:szCs w:val="24"/>
        </w:rPr>
      </w:pPr>
    </w:p>
    <w:p w14:paraId="67A80A04"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Regional Rural Banks);/ All India Financial Institutions (</w:t>
      </w:r>
      <w:proofErr w:type="spellStart"/>
      <w:r w:rsidRPr="00C902C8">
        <w:rPr>
          <w:rFonts w:ascii="Times New Roman" w:hAnsi="Times New Roman" w:cs="Times New Roman"/>
          <w:sz w:val="24"/>
          <w:szCs w:val="24"/>
        </w:rPr>
        <w:t>NABARD</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NHB</w:t>
      </w:r>
      <w:proofErr w:type="spellEnd"/>
      <w:r w:rsidRPr="00C902C8">
        <w:rPr>
          <w:rFonts w:ascii="Times New Roman" w:hAnsi="Times New Roman" w:cs="Times New Roman"/>
          <w:sz w:val="24"/>
          <w:szCs w:val="24"/>
        </w:rPr>
        <w:t>, EXIM Bank, and SIDBI);/ All Systemically Important Non-Deposit taking Non-Banking Financial Companies/ (</w:t>
      </w:r>
      <w:proofErr w:type="spellStart"/>
      <w:r w:rsidRPr="00C902C8">
        <w:rPr>
          <w:rFonts w:ascii="Times New Roman" w:hAnsi="Times New Roman" w:cs="Times New Roman"/>
          <w:sz w:val="24"/>
          <w:szCs w:val="24"/>
        </w:rPr>
        <w:t>NBFC</w:t>
      </w:r>
      <w:proofErr w:type="spellEnd"/>
      <w:r w:rsidRPr="00C902C8">
        <w:rPr>
          <w:rFonts w:ascii="Times New Roman" w:hAnsi="Times New Roman" w:cs="Times New Roman"/>
          <w:sz w:val="24"/>
          <w:szCs w:val="24"/>
        </w:rPr>
        <w:t>-ND-SI) and Deposit taking Non-Banking Financial Companies (</w:t>
      </w:r>
      <w:proofErr w:type="spellStart"/>
      <w:r w:rsidRPr="00C902C8">
        <w:rPr>
          <w:rFonts w:ascii="Times New Roman" w:hAnsi="Times New Roman" w:cs="Times New Roman"/>
          <w:sz w:val="24"/>
          <w:szCs w:val="24"/>
        </w:rPr>
        <w:t>NBFC</w:t>
      </w:r>
      <w:proofErr w:type="spellEnd"/>
      <w:r w:rsidRPr="00C902C8">
        <w:rPr>
          <w:rFonts w:ascii="Times New Roman" w:hAnsi="Times New Roman" w:cs="Times New Roman"/>
          <w:sz w:val="24"/>
          <w:szCs w:val="24"/>
        </w:rPr>
        <w:t>-D).</w:t>
      </w:r>
    </w:p>
    <w:p w14:paraId="349522EE" w14:textId="77777777" w:rsidR="005C5F02" w:rsidRPr="00C902C8" w:rsidRDefault="005C5F02" w:rsidP="005C5F02">
      <w:pPr>
        <w:spacing w:after="0" w:line="240" w:lineRule="auto"/>
        <w:jc w:val="both"/>
        <w:rPr>
          <w:rFonts w:ascii="Times New Roman" w:hAnsi="Times New Roman" w:cs="Times New Roman"/>
          <w:sz w:val="24"/>
          <w:szCs w:val="24"/>
        </w:rPr>
      </w:pPr>
    </w:p>
    <w:p w14:paraId="5869D861"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Circular </w:t>
      </w:r>
      <w:proofErr w:type="spellStart"/>
      <w:r w:rsidRPr="00C902C8">
        <w:rPr>
          <w:rFonts w:ascii="Times New Roman" w:hAnsi="Times New Roman" w:cs="Times New Roman"/>
          <w:sz w:val="24"/>
          <w:szCs w:val="24"/>
        </w:rPr>
        <w:t>DOR.No.BP.BC.62</w:t>
      </w:r>
      <w:proofErr w:type="spellEnd"/>
      <w:r w:rsidRPr="00C902C8">
        <w:rPr>
          <w:rFonts w:ascii="Times New Roman" w:hAnsi="Times New Roman" w:cs="Times New Roman"/>
          <w:sz w:val="24"/>
          <w:szCs w:val="24"/>
        </w:rPr>
        <w:t>/21.04.048/2019-20 dated April 17, 2020 relating to extension of resolution timelines under the Prudential Framework on Resolution of Stressed Assets dated June 7, 2019 (‘Prudential Framework’). Given the continued challenges to resolution of stressed assets, in partial modification of the above, as announced in the Governor’s Statement of May 22, 2020, the timelines are being extended further as under:</w:t>
      </w:r>
    </w:p>
    <w:p w14:paraId="6F9EEBDC" w14:textId="77777777" w:rsidR="005C5F02" w:rsidRPr="00C902C8" w:rsidRDefault="005C5F02" w:rsidP="005C5F02">
      <w:pPr>
        <w:spacing w:after="0" w:line="240" w:lineRule="auto"/>
        <w:jc w:val="both"/>
        <w:rPr>
          <w:rFonts w:ascii="Times New Roman" w:hAnsi="Times New Roman" w:cs="Times New Roman"/>
          <w:sz w:val="24"/>
          <w:szCs w:val="24"/>
        </w:rPr>
      </w:pPr>
    </w:p>
    <w:p w14:paraId="3ECB42F8"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respect of accounts which were within the Review Period as on March 1, 2020, the period from March 1, 2020 to August 31, 2020 shall be excluded from the calculation of the 30-day timeline for the Review Period. In respect of all such accounts, the residual Review Period shall resume from September 1, 2020, upon expiry of which the lenders shall have the usual 180 days for resolution.</w:t>
      </w:r>
    </w:p>
    <w:p w14:paraId="16D4FB3D" w14:textId="77777777" w:rsidR="005C5F02" w:rsidRPr="00C902C8" w:rsidRDefault="005C5F02" w:rsidP="005C5F02">
      <w:pPr>
        <w:spacing w:after="0" w:line="240" w:lineRule="auto"/>
        <w:jc w:val="both"/>
        <w:rPr>
          <w:rFonts w:ascii="Times New Roman" w:hAnsi="Times New Roman" w:cs="Times New Roman"/>
          <w:sz w:val="24"/>
          <w:szCs w:val="24"/>
        </w:rPr>
      </w:pPr>
    </w:p>
    <w:p w14:paraId="03B71028"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respect of accounts where the Review Period was over, but the 180-day resolution period had not expired as on March 1, 2020, the timeline for resolution shall get extended by 180 days from the date on which the 180-day period was originally set to expire.</w:t>
      </w:r>
    </w:p>
    <w:p w14:paraId="20F37C77" w14:textId="77777777" w:rsidR="005C5F02" w:rsidRPr="00C902C8" w:rsidRDefault="005C5F02" w:rsidP="005C5F02">
      <w:pPr>
        <w:spacing w:after="0" w:line="240" w:lineRule="auto"/>
        <w:jc w:val="both"/>
        <w:rPr>
          <w:rFonts w:ascii="Times New Roman" w:hAnsi="Times New Roman" w:cs="Times New Roman"/>
          <w:sz w:val="24"/>
          <w:szCs w:val="24"/>
        </w:rPr>
      </w:pPr>
    </w:p>
    <w:p w14:paraId="37FAA1F8"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Consequently, the requirement of making additional provisions specified in paragraph 17 of the Prudential Framework shall be triggered as and when the extended resolution period, as stated above, expires.</w:t>
      </w:r>
    </w:p>
    <w:p w14:paraId="25247E89" w14:textId="77777777" w:rsidR="005C5F02" w:rsidRPr="00C902C8" w:rsidRDefault="005C5F02" w:rsidP="005C5F02">
      <w:pPr>
        <w:spacing w:after="0" w:line="240" w:lineRule="auto"/>
        <w:jc w:val="both"/>
        <w:rPr>
          <w:rFonts w:ascii="Times New Roman" w:hAnsi="Times New Roman" w:cs="Times New Roman"/>
          <w:sz w:val="24"/>
          <w:szCs w:val="24"/>
        </w:rPr>
      </w:pPr>
    </w:p>
    <w:p w14:paraId="041726A3" w14:textId="77777777" w:rsidR="005C5F02" w:rsidRPr="00C902C8" w:rsidRDefault="005C5F02" w:rsidP="005C5F02">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All other provisions of the circular dated April 17, 2020 shall continue to remain applicable.</w:t>
      </w:r>
    </w:p>
    <w:p w14:paraId="0731FF07" w14:textId="77777777" w:rsidR="005C5F02" w:rsidRPr="00C902C8" w:rsidRDefault="005C5F02" w:rsidP="005C5F02">
      <w:pPr>
        <w:pBdr>
          <w:bottom w:val="single" w:sz="12" w:space="1" w:color="auto"/>
        </w:pBdr>
        <w:spacing w:after="0" w:line="240" w:lineRule="auto"/>
        <w:jc w:val="both"/>
        <w:rPr>
          <w:rFonts w:ascii="Times New Roman" w:hAnsi="Times New Roman" w:cs="Times New Roman"/>
          <w:sz w:val="24"/>
          <w:szCs w:val="24"/>
        </w:rPr>
      </w:pPr>
    </w:p>
    <w:p w14:paraId="241171C8" w14:textId="77777777" w:rsidR="005C5F02" w:rsidRPr="00C902C8" w:rsidRDefault="005C5F02" w:rsidP="005C5F02">
      <w:pPr>
        <w:spacing w:after="0" w:line="240" w:lineRule="auto"/>
        <w:jc w:val="both"/>
        <w:rPr>
          <w:rFonts w:ascii="Times New Roman" w:hAnsi="Times New Roman" w:cs="Times New Roman"/>
          <w:sz w:val="24"/>
          <w:szCs w:val="24"/>
        </w:rPr>
      </w:pPr>
    </w:p>
    <w:p w14:paraId="0642E47A" w14:textId="77777777" w:rsidR="005C5F02" w:rsidRDefault="005C5F02" w:rsidP="005C5F02">
      <w:pPr>
        <w:spacing w:after="0" w:line="240" w:lineRule="auto"/>
        <w:jc w:val="both"/>
        <w:rPr>
          <w:rFonts w:ascii="Times New Roman" w:hAnsi="Times New Roman" w:cs="Times New Roman"/>
          <w:b/>
          <w:bCs/>
          <w:sz w:val="24"/>
          <w:szCs w:val="24"/>
        </w:rPr>
      </w:pPr>
    </w:p>
    <w:p w14:paraId="3E9C5CF7" w14:textId="77777777" w:rsidR="00AE747B" w:rsidRDefault="00AE747B">
      <w:pPr>
        <w:rPr>
          <w:rFonts w:ascii="Times New Roman" w:hAnsi="Times New Roman" w:cs="Times New Roman"/>
          <w:b/>
          <w:bCs/>
          <w:sz w:val="24"/>
          <w:szCs w:val="24"/>
        </w:rPr>
      </w:pPr>
      <w:r>
        <w:rPr>
          <w:rFonts w:ascii="Times New Roman" w:hAnsi="Times New Roman" w:cs="Times New Roman"/>
          <w:b/>
          <w:bCs/>
          <w:sz w:val="24"/>
          <w:szCs w:val="24"/>
        </w:rPr>
        <w:br w:type="page"/>
      </w:r>
    </w:p>
    <w:p w14:paraId="4F43C934" w14:textId="41002BC8" w:rsidR="005C5F02" w:rsidRDefault="005C5F02" w:rsidP="005C5F02">
      <w:pPr>
        <w:spacing w:after="0" w:line="240" w:lineRule="auto"/>
        <w:jc w:val="both"/>
        <w:rPr>
          <w:rFonts w:ascii="Times New Roman" w:hAnsi="Times New Roman" w:cs="Times New Roman"/>
          <w:b/>
          <w:bCs/>
          <w:sz w:val="24"/>
          <w:szCs w:val="24"/>
        </w:rPr>
      </w:pPr>
      <w:r w:rsidRPr="001128C2">
        <w:rPr>
          <w:rFonts w:ascii="Times New Roman" w:hAnsi="Times New Roman" w:cs="Times New Roman"/>
          <w:b/>
          <w:bCs/>
          <w:sz w:val="24"/>
          <w:szCs w:val="24"/>
        </w:rPr>
        <w:lastRenderedPageBreak/>
        <w:t>Assignment of Risk Weights on Credit Facilities (Guaranteed Emergency Credit Line) under the Emergency Credit Line Guarantee Scheme</w:t>
      </w:r>
    </w:p>
    <w:p w14:paraId="768AB927" w14:textId="77777777" w:rsidR="005C5F02" w:rsidRPr="001128C2" w:rsidRDefault="005C5F02" w:rsidP="005C5F02">
      <w:pPr>
        <w:spacing w:after="0" w:line="240" w:lineRule="auto"/>
        <w:jc w:val="both"/>
        <w:rPr>
          <w:rFonts w:ascii="Times New Roman" w:hAnsi="Times New Roman" w:cs="Times New Roman"/>
          <w:b/>
          <w:bCs/>
          <w:sz w:val="24"/>
          <w:szCs w:val="24"/>
        </w:rPr>
      </w:pPr>
    </w:p>
    <w:p w14:paraId="42EE05F4" w14:textId="77777777" w:rsidR="005C5F02" w:rsidRPr="001128C2" w:rsidRDefault="005C5F02" w:rsidP="005C5F02">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RBI/2019-20/255</w:t>
      </w:r>
      <w:r>
        <w:rPr>
          <w:rFonts w:ascii="Times New Roman" w:hAnsi="Times New Roman" w:cs="Times New Roman"/>
          <w:sz w:val="24"/>
          <w:szCs w:val="24"/>
        </w:rPr>
        <w:t xml:space="preserve"> </w:t>
      </w:r>
      <w:proofErr w:type="spellStart"/>
      <w:r w:rsidRPr="001128C2">
        <w:rPr>
          <w:rFonts w:ascii="Times New Roman" w:hAnsi="Times New Roman" w:cs="Times New Roman"/>
          <w:sz w:val="24"/>
          <w:szCs w:val="24"/>
        </w:rPr>
        <w:t>DoR.BP.BC.No.76</w:t>
      </w:r>
      <w:proofErr w:type="spellEnd"/>
      <w:r w:rsidRPr="001128C2">
        <w:rPr>
          <w:rFonts w:ascii="Times New Roman" w:hAnsi="Times New Roman" w:cs="Times New Roman"/>
          <w:sz w:val="24"/>
          <w:szCs w:val="24"/>
        </w:rPr>
        <w:t>/21.06.201/2019-20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28C2">
        <w:rPr>
          <w:rFonts w:ascii="Times New Roman" w:hAnsi="Times New Roman" w:cs="Times New Roman"/>
          <w:sz w:val="24"/>
          <w:szCs w:val="24"/>
        </w:rPr>
        <w:t>June 21, 2020</w:t>
      </w:r>
    </w:p>
    <w:p w14:paraId="406733FD" w14:textId="77777777" w:rsidR="005C5F02" w:rsidRPr="001128C2" w:rsidRDefault="005C5F02" w:rsidP="005C5F02">
      <w:pPr>
        <w:spacing w:after="0" w:line="240" w:lineRule="auto"/>
        <w:jc w:val="both"/>
        <w:rPr>
          <w:rFonts w:ascii="Times New Roman" w:hAnsi="Times New Roman" w:cs="Times New Roman"/>
          <w:sz w:val="24"/>
          <w:szCs w:val="24"/>
        </w:rPr>
      </w:pPr>
    </w:p>
    <w:p w14:paraId="52423C4A" w14:textId="77777777" w:rsidR="005C5F02" w:rsidRPr="001128C2" w:rsidRDefault="005C5F02" w:rsidP="005C5F02">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All Member Lending Institutions</w:t>
      </w:r>
      <w:r>
        <w:rPr>
          <w:rFonts w:ascii="Times New Roman" w:hAnsi="Times New Roman" w:cs="Times New Roman"/>
          <w:sz w:val="24"/>
          <w:szCs w:val="24"/>
        </w:rPr>
        <w:t xml:space="preserve">/ </w:t>
      </w:r>
      <w:r w:rsidRPr="001128C2">
        <w:rPr>
          <w:rFonts w:ascii="Times New Roman" w:hAnsi="Times New Roman" w:cs="Times New Roman"/>
          <w:sz w:val="24"/>
          <w:szCs w:val="24"/>
        </w:rPr>
        <w:t xml:space="preserve">(All Scheduled Commercial Banks including Scheduled </w:t>
      </w:r>
      <w:proofErr w:type="spellStart"/>
      <w:r w:rsidRPr="001128C2">
        <w:rPr>
          <w:rFonts w:ascii="Times New Roman" w:hAnsi="Times New Roman" w:cs="Times New Roman"/>
          <w:sz w:val="24"/>
          <w:szCs w:val="24"/>
        </w:rPr>
        <w:t>RRBs</w:t>
      </w:r>
      <w:proofErr w:type="spellEnd"/>
      <w:r w:rsidRPr="001128C2">
        <w:rPr>
          <w:rFonts w:ascii="Times New Roman" w:hAnsi="Times New Roman" w:cs="Times New Roman"/>
          <w:sz w:val="24"/>
          <w:szCs w:val="24"/>
        </w:rPr>
        <w:t>)</w:t>
      </w:r>
      <w:r>
        <w:rPr>
          <w:rFonts w:ascii="Times New Roman" w:hAnsi="Times New Roman" w:cs="Times New Roman"/>
          <w:sz w:val="24"/>
          <w:szCs w:val="24"/>
        </w:rPr>
        <w:t xml:space="preserve">/ </w:t>
      </w:r>
      <w:r w:rsidRPr="001128C2">
        <w:rPr>
          <w:rFonts w:ascii="Times New Roman" w:hAnsi="Times New Roman" w:cs="Times New Roman"/>
          <w:sz w:val="24"/>
          <w:szCs w:val="24"/>
        </w:rPr>
        <w:t>(</w:t>
      </w:r>
      <w:proofErr w:type="spellStart"/>
      <w:r w:rsidRPr="001128C2">
        <w:rPr>
          <w:rFonts w:ascii="Times New Roman" w:hAnsi="Times New Roman" w:cs="Times New Roman"/>
          <w:sz w:val="24"/>
          <w:szCs w:val="24"/>
        </w:rPr>
        <w:t>NBFCs</w:t>
      </w:r>
      <w:proofErr w:type="spellEnd"/>
      <w:r w:rsidRPr="001128C2">
        <w:rPr>
          <w:rFonts w:ascii="Times New Roman" w:hAnsi="Times New Roman" w:cs="Times New Roman"/>
          <w:sz w:val="24"/>
          <w:szCs w:val="24"/>
        </w:rPr>
        <w:t xml:space="preserve"> including </w:t>
      </w:r>
      <w:proofErr w:type="spellStart"/>
      <w:r w:rsidRPr="001128C2">
        <w:rPr>
          <w:rFonts w:ascii="Times New Roman" w:hAnsi="Times New Roman" w:cs="Times New Roman"/>
          <w:sz w:val="24"/>
          <w:szCs w:val="24"/>
        </w:rPr>
        <w:t>HFCs</w:t>
      </w:r>
      <w:proofErr w:type="spellEnd"/>
      <w:r w:rsidRPr="001128C2">
        <w:rPr>
          <w:rFonts w:ascii="Times New Roman" w:hAnsi="Times New Roman" w:cs="Times New Roman"/>
          <w:sz w:val="24"/>
          <w:szCs w:val="24"/>
        </w:rPr>
        <w:t xml:space="preserve"> eligible under the captioned scheme)</w:t>
      </w:r>
      <w:r>
        <w:rPr>
          <w:rFonts w:ascii="Times New Roman" w:hAnsi="Times New Roman" w:cs="Times New Roman"/>
          <w:sz w:val="24"/>
          <w:szCs w:val="24"/>
        </w:rPr>
        <w:t>/</w:t>
      </w:r>
      <w:r w:rsidRPr="001128C2">
        <w:rPr>
          <w:rFonts w:ascii="Times New Roman" w:hAnsi="Times New Roman" w:cs="Times New Roman"/>
          <w:sz w:val="24"/>
          <w:szCs w:val="24"/>
        </w:rPr>
        <w:t>(All India Financial Institutions - Small Industries Development Bank of India,</w:t>
      </w:r>
      <w:r>
        <w:rPr>
          <w:rFonts w:ascii="Times New Roman" w:hAnsi="Times New Roman" w:cs="Times New Roman"/>
          <w:sz w:val="24"/>
          <w:szCs w:val="24"/>
        </w:rPr>
        <w:t xml:space="preserve"> </w:t>
      </w:r>
      <w:r w:rsidRPr="001128C2">
        <w:rPr>
          <w:rFonts w:ascii="Times New Roman" w:hAnsi="Times New Roman" w:cs="Times New Roman"/>
          <w:sz w:val="24"/>
          <w:szCs w:val="24"/>
        </w:rPr>
        <w:t>National Housing Bank, National Bank for Agriculture and Rural Development and Export-Import Bank of India)</w:t>
      </w:r>
    </w:p>
    <w:p w14:paraId="520FB262" w14:textId="77777777" w:rsidR="005C5F02" w:rsidRPr="001128C2" w:rsidRDefault="005C5F02" w:rsidP="005C5F02">
      <w:pPr>
        <w:spacing w:after="0" w:line="240" w:lineRule="auto"/>
        <w:jc w:val="both"/>
        <w:rPr>
          <w:rFonts w:ascii="Times New Roman" w:hAnsi="Times New Roman" w:cs="Times New Roman"/>
          <w:sz w:val="24"/>
          <w:szCs w:val="24"/>
        </w:rPr>
      </w:pPr>
    </w:p>
    <w:p w14:paraId="3F3B28BA" w14:textId="77777777" w:rsidR="005C5F02" w:rsidRPr="001128C2" w:rsidRDefault="005C5F02" w:rsidP="005C5F02">
      <w:pPr>
        <w:spacing w:after="0" w:line="240" w:lineRule="auto"/>
        <w:jc w:val="both"/>
        <w:rPr>
          <w:rFonts w:ascii="Times New Roman" w:hAnsi="Times New Roman" w:cs="Times New Roman"/>
          <w:sz w:val="24"/>
          <w:szCs w:val="24"/>
        </w:rPr>
      </w:pPr>
    </w:p>
    <w:p w14:paraId="5B963A37" w14:textId="77777777" w:rsidR="005C5F02" w:rsidRPr="001128C2" w:rsidRDefault="005C5F02" w:rsidP="005C5F02">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Please refer to circular Ref no. 2842/</w:t>
      </w:r>
      <w:proofErr w:type="spellStart"/>
      <w:r w:rsidRPr="001128C2">
        <w:rPr>
          <w:rFonts w:ascii="Times New Roman" w:hAnsi="Times New Roman" w:cs="Times New Roman"/>
          <w:sz w:val="24"/>
          <w:szCs w:val="24"/>
        </w:rPr>
        <w:t>NCGTC</w:t>
      </w:r>
      <w:proofErr w:type="spellEnd"/>
      <w:r w:rsidRPr="001128C2">
        <w:rPr>
          <w:rFonts w:ascii="Times New Roman" w:hAnsi="Times New Roman" w:cs="Times New Roman"/>
          <w:sz w:val="24"/>
          <w:szCs w:val="24"/>
        </w:rPr>
        <w:t>/</w:t>
      </w:r>
      <w:proofErr w:type="spellStart"/>
      <w:r w:rsidRPr="001128C2">
        <w:rPr>
          <w:rFonts w:ascii="Times New Roman" w:hAnsi="Times New Roman" w:cs="Times New Roman"/>
          <w:sz w:val="24"/>
          <w:szCs w:val="24"/>
        </w:rPr>
        <w:t>ECLGS</w:t>
      </w:r>
      <w:proofErr w:type="spellEnd"/>
      <w:r w:rsidRPr="001128C2">
        <w:rPr>
          <w:rFonts w:ascii="Times New Roman" w:hAnsi="Times New Roman" w:cs="Times New Roman"/>
          <w:sz w:val="24"/>
          <w:szCs w:val="24"/>
        </w:rPr>
        <w:t xml:space="preserve"> dated May 23, 2020 issued by National Credit Guarantee Trustee Company (</w:t>
      </w:r>
      <w:proofErr w:type="spellStart"/>
      <w:r w:rsidRPr="001128C2">
        <w:rPr>
          <w:rFonts w:ascii="Times New Roman" w:hAnsi="Times New Roman" w:cs="Times New Roman"/>
          <w:sz w:val="24"/>
          <w:szCs w:val="24"/>
        </w:rPr>
        <w:t>NCGTC</w:t>
      </w:r>
      <w:proofErr w:type="spellEnd"/>
      <w:r w:rsidRPr="001128C2">
        <w:rPr>
          <w:rFonts w:ascii="Times New Roman" w:hAnsi="Times New Roman" w:cs="Times New Roman"/>
          <w:sz w:val="24"/>
          <w:szCs w:val="24"/>
        </w:rPr>
        <w:t xml:space="preserve">) in respect of the captioned scheme announced by the Government of India to extend guaranteed emergency credit line to MSME borrowers. As credit facilities extended under the scheme guaranteed by </w:t>
      </w:r>
      <w:proofErr w:type="spellStart"/>
      <w:r w:rsidRPr="001128C2">
        <w:rPr>
          <w:rFonts w:ascii="Times New Roman" w:hAnsi="Times New Roman" w:cs="Times New Roman"/>
          <w:sz w:val="24"/>
          <w:szCs w:val="24"/>
        </w:rPr>
        <w:t>NCGTC</w:t>
      </w:r>
      <w:proofErr w:type="spellEnd"/>
      <w:r w:rsidRPr="001128C2">
        <w:rPr>
          <w:rFonts w:ascii="Times New Roman" w:hAnsi="Times New Roman" w:cs="Times New Roman"/>
          <w:sz w:val="24"/>
          <w:szCs w:val="24"/>
        </w:rPr>
        <w:t xml:space="preserve"> are backed by an unconditional and irrevocable guarantee provided by Government of India, it has been decided that Member Lending Institutions shall assign zero percent risk weight on the credit facilities extended under this scheme to the extent of guarantee coverage.</w:t>
      </w:r>
    </w:p>
    <w:p w14:paraId="2D44373C" w14:textId="77777777" w:rsidR="005C5F02" w:rsidRDefault="005C5F02" w:rsidP="005C5F02">
      <w:pPr>
        <w:pBdr>
          <w:bottom w:val="single" w:sz="12" w:space="1" w:color="auto"/>
        </w:pBdr>
        <w:spacing w:after="0" w:line="240" w:lineRule="auto"/>
        <w:jc w:val="both"/>
        <w:rPr>
          <w:rFonts w:ascii="Times New Roman" w:hAnsi="Times New Roman" w:cs="Times New Roman"/>
          <w:b/>
          <w:bCs/>
          <w:sz w:val="24"/>
          <w:szCs w:val="24"/>
        </w:rPr>
      </w:pPr>
    </w:p>
    <w:bookmarkEnd w:id="0"/>
    <w:p w14:paraId="2D07B7D0" w14:textId="77777777" w:rsidR="005C5F02" w:rsidRDefault="005C5F02" w:rsidP="005C5F02">
      <w:pPr>
        <w:spacing w:after="0" w:line="240" w:lineRule="auto"/>
        <w:jc w:val="both"/>
        <w:rPr>
          <w:rFonts w:ascii="Times New Roman" w:hAnsi="Times New Roman" w:cs="Times New Roman"/>
          <w:b/>
          <w:bCs/>
          <w:sz w:val="24"/>
          <w:szCs w:val="24"/>
        </w:rPr>
      </w:pPr>
    </w:p>
    <w:sectPr w:rsidR="005C5F0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42EC7" w14:textId="77777777" w:rsidR="00685415" w:rsidRDefault="00685415" w:rsidP="00064158">
      <w:pPr>
        <w:spacing w:after="0" w:line="240" w:lineRule="auto"/>
      </w:pPr>
      <w:r>
        <w:separator/>
      </w:r>
    </w:p>
  </w:endnote>
  <w:endnote w:type="continuationSeparator" w:id="0">
    <w:p w14:paraId="77637252" w14:textId="77777777" w:rsidR="00685415" w:rsidRDefault="00685415" w:rsidP="0006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401276"/>
      <w:docPartObj>
        <w:docPartGallery w:val="Page Numbers (Bottom of Page)"/>
        <w:docPartUnique/>
      </w:docPartObj>
    </w:sdtPr>
    <w:sdtEndPr>
      <w:rPr>
        <w:noProof/>
      </w:rPr>
    </w:sdtEndPr>
    <w:sdtContent>
      <w:p w14:paraId="1F1681E7" w14:textId="461DEBA8" w:rsidR="00E112B6" w:rsidRDefault="00E112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DF365" w14:textId="77777777" w:rsidR="00E112B6" w:rsidRDefault="00E1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498E6" w14:textId="77777777" w:rsidR="00685415" w:rsidRDefault="00685415" w:rsidP="00064158">
      <w:pPr>
        <w:spacing w:after="0" w:line="240" w:lineRule="auto"/>
      </w:pPr>
      <w:r>
        <w:separator/>
      </w:r>
    </w:p>
  </w:footnote>
  <w:footnote w:type="continuationSeparator" w:id="0">
    <w:p w14:paraId="09594D6E" w14:textId="77777777" w:rsidR="00685415" w:rsidRDefault="00685415" w:rsidP="0006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463"/>
    <w:multiLevelType w:val="hybridMultilevel"/>
    <w:tmpl w:val="C06CA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B7DE9"/>
    <w:multiLevelType w:val="hybridMultilevel"/>
    <w:tmpl w:val="555619A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6937CB"/>
    <w:multiLevelType w:val="hybridMultilevel"/>
    <w:tmpl w:val="5DD638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0E66A4"/>
    <w:multiLevelType w:val="hybridMultilevel"/>
    <w:tmpl w:val="C1E4C0BC"/>
    <w:lvl w:ilvl="0" w:tplc="8B9A29BA">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8D0F4F4">
      <w:start w:val="1"/>
      <w:numFmt w:val="lowerLetter"/>
      <w:lvlText w:val="(%2)"/>
      <w:lvlJc w:val="left"/>
      <w:pPr>
        <w:ind w:left="12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E266D1A">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CDA72BC">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19A7800">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8C0CF90">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1FC81D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FECD25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D5EB1C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3D954F5"/>
    <w:multiLevelType w:val="hybridMultilevel"/>
    <w:tmpl w:val="00503F1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49E5BBF"/>
    <w:multiLevelType w:val="hybridMultilevel"/>
    <w:tmpl w:val="FB4645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6B16BD1"/>
    <w:multiLevelType w:val="hybridMultilevel"/>
    <w:tmpl w:val="EB6AD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7962D95"/>
    <w:multiLevelType w:val="hybridMultilevel"/>
    <w:tmpl w:val="DA963E52"/>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EA49A5"/>
    <w:multiLevelType w:val="hybridMultilevel"/>
    <w:tmpl w:val="E5B873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8997765"/>
    <w:multiLevelType w:val="hybridMultilevel"/>
    <w:tmpl w:val="C1AEBC7A"/>
    <w:lvl w:ilvl="0" w:tplc="40090019">
      <w:start w:val="1"/>
      <w:numFmt w:val="lowerLetter"/>
      <w:lvlText w:val="%1."/>
      <w:lvlJc w:val="left"/>
      <w:pPr>
        <w:ind w:left="720" w:hanging="360"/>
      </w:pPr>
    </w:lvl>
    <w:lvl w:ilvl="1" w:tplc="2F08C696">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9CD29F4"/>
    <w:multiLevelType w:val="hybridMultilevel"/>
    <w:tmpl w:val="821E3F3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871A94"/>
    <w:multiLevelType w:val="hybridMultilevel"/>
    <w:tmpl w:val="934406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BE32A15"/>
    <w:multiLevelType w:val="hybridMultilevel"/>
    <w:tmpl w:val="498E48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BE32AB6"/>
    <w:multiLevelType w:val="hybridMultilevel"/>
    <w:tmpl w:val="A7BC46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D0D5F75"/>
    <w:multiLevelType w:val="hybridMultilevel"/>
    <w:tmpl w:val="CEAAFE6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DBE6E41"/>
    <w:multiLevelType w:val="hybridMultilevel"/>
    <w:tmpl w:val="E08AA3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DF53165"/>
    <w:multiLevelType w:val="hybridMultilevel"/>
    <w:tmpl w:val="4D005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EB30D4D"/>
    <w:multiLevelType w:val="hybridMultilevel"/>
    <w:tmpl w:val="C5A260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F445043"/>
    <w:multiLevelType w:val="hybridMultilevel"/>
    <w:tmpl w:val="DFF8E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9437F8"/>
    <w:multiLevelType w:val="hybridMultilevel"/>
    <w:tmpl w:val="EDEE86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2A20210"/>
    <w:multiLevelType w:val="hybridMultilevel"/>
    <w:tmpl w:val="99D4D1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3F66B1D"/>
    <w:multiLevelType w:val="hybridMultilevel"/>
    <w:tmpl w:val="FCC6B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648708F"/>
    <w:multiLevelType w:val="hybridMultilevel"/>
    <w:tmpl w:val="ED74F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6770D80"/>
    <w:multiLevelType w:val="hybridMultilevel"/>
    <w:tmpl w:val="358218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6A205F8"/>
    <w:multiLevelType w:val="hybridMultilevel"/>
    <w:tmpl w:val="4A7E455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78D379D"/>
    <w:multiLevelType w:val="hybridMultilevel"/>
    <w:tmpl w:val="8488B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86E5AAA"/>
    <w:multiLevelType w:val="hybridMultilevel"/>
    <w:tmpl w:val="C7B4B6E0"/>
    <w:lvl w:ilvl="0" w:tplc="1D6C3BEE">
      <w:start w:val="12"/>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9D6A66BA">
      <w:start w:val="1"/>
      <w:numFmt w:val="lowerLetter"/>
      <w:lvlText w:val="%2"/>
      <w:lvlJc w:val="left"/>
      <w:pPr>
        <w:ind w:left="27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84B0D0FC">
      <w:start w:val="1"/>
      <w:numFmt w:val="lowerRoman"/>
      <w:lvlText w:val="%3"/>
      <w:lvlJc w:val="left"/>
      <w:pPr>
        <w:ind w:left="34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DE920EC4">
      <w:start w:val="1"/>
      <w:numFmt w:val="decimal"/>
      <w:lvlText w:val="%4"/>
      <w:lvlJc w:val="left"/>
      <w:pPr>
        <w:ind w:left="4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CE66C82C">
      <w:start w:val="1"/>
      <w:numFmt w:val="lowerLetter"/>
      <w:lvlText w:val="%5"/>
      <w:lvlJc w:val="left"/>
      <w:pPr>
        <w:ind w:left="49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B7A27750">
      <w:start w:val="1"/>
      <w:numFmt w:val="lowerRoman"/>
      <w:lvlText w:val="%6"/>
      <w:lvlJc w:val="left"/>
      <w:pPr>
        <w:ind w:left="56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D95659D8">
      <w:start w:val="1"/>
      <w:numFmt w:val="decimal"/>
      <w:lvlText w:val="%7"/>
      <w:lvlJc w:val="left"/>
      <w:pPr>
        <w:ind w:left="63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0F3A6930">
      <w:start w:val="1"/>
      <w:numFmt w:val="lowerLetter"/>
      <w:lvlText w:val="%8"/>
      <w:lvlJc w:val="left"/>
      <w:pPr>
        <w:ind w:left="70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7880DA2">
      <w:start w:val="1"/>
      <w:numFmt w:val="lowerRoman"/>
      <w:lvlText w:val="%9"/>
      <w:lvlJc w:val="left"/>
      <w:pPr>
        <w:ind w:left="78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18DD166E"/>
    <w:multiLevelType w:val="hybridMultilevel"/>
    <w:tmpl w:val="BB02B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CA064A"/>
    <w:multiLevelType w:val="hybridMultilevel"/>
    <w:tmpl w:val="020CE8E6"/>
    <w:lvl w:ilvl="0" w:tplc="4009001B">
      <w:start w:val="1"/>
      <w:numFmt w:val="lowerRoman"/>
      <w:lvlText w:val="%1."/>
      <w:lvlJc w:val="right"/>
      <w:pPr>
        <w:ind w:left="720" w:hanging="360"/>
      </w:pPr>
      <w:rPr>
        <w:rFonts w:hint="default"/>
      </w:rPr>
    </w:lvl>
    <w:lvl w:ilvl="1" w:tplc="4822BEE6">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BAB196B"/>
    <w:multiLevelType w:val="hybridMultilevel"/>
    <w:tmpl w:val="C8200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C122341"/>
    <w:multiLevelType w:val="hybridMultilevel"/>
    <w:tmpl w:val="45F053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E851064"/>
    <w:multiLevelType w:val="hybridMultilevel"/>
    <w:tmpl w:val="F1B8C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F76236F"/>
    <w:multiLevelType w:val="hybridMultilevel"/>
    <w:tmpl w:val="3C1C75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FB0572"/>
    <w:multiLevelType w:val="hybridMultilevel"/>
    <w:tmpl w:val="3EA49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2A3016E"/>
    <w:multiLevelType w:val="hybridMultilevel"/>
    <w:tmpl w:val="161473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2C8799C"/>
    <w:multiLevelType w:val="hybridMultilevel"/>
    <w:tmpl w:val="4C52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3900BA3"/>
    <w:multiLevelType w:val="hybridMultilevel"/>
    <w:tmpl w:val="58E82B56"/>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4B9161E"/>
    <w:multiLevelType w:val="hybridMultilevel"/>
    <w:tmpl w:val="82FEE4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52C4A5F"/>
    <w:multiLevelType w:val="hybridMultilevel"/>
    <w:tmpl w:val="B9D4980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89B7101"/>
    <w:multiLevelType w:val="hybridMultilevel"/>
    <w:tmpl w:val="28965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94874FE"/>
    <w:multiLevelType w:val="hybridMultilevel"/>
    <w:tmpl w:val="2D4AEF0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2A234D2C"/>
    <w:multiLevelType w:val="hybridMultilevel"/>
    <w:tmpl w:val="C18EDB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B046C64"/>
    <w:multiLevelType w:val="hybridMultilevel"/>
    <w:tmpl w:val="0CAEE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C3C3BBA"/>
    <w:multiLevelType w:val="hybridMultilevel"/>
    <w:tmpl w:val="22B292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D8927AE"/>
    <w:multiLevelType w:val="hybridMultilevel"/>
    <w:tmpl w:val="FA4E36D6"/>
    <w:lvl w:ilvl="0" w:tplc="11EAA388">
      <w:start w:val="2"/>
      <w:numFmt w:val="decimal"/>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2B1056DA">
      <w:start w:val="1"/>
      <w:numFmt w:val="lowerRoman"/>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1DE1DDC">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5CC4050">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B1E1C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88AEA3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C5CB31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40B1A8">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D52BD98">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2E22115B"/>
    <w:multiLevelType w:val="hybridMultilevel"/>
    <w:tmpl w:val="06E288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EE65A26"/>
    <w:multiLevelType w:val="hybridMultilevel"/>
    <w:tmpl w:val="4ADC279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F910F78"/>
    <w:multiLevelType w:val="hybridMultilevel"/>
    <w:tmpl w:val="653C42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FD70228"/>
    <w:multiLevelType w:val="hybridMultilevel"/>
    <w:tmpl w:val="AB5C9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FF929D0"/>
    <w:multiLevelType w:val="hybridMultilevel"/>
    <w:tmpl w:val="7272D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0415C7E"/>
    <w:multiLevelType w:val="hybridMultilevel"/>
    <w:tmpl w:val="1362F1AA"/>
    <w:lvl w:ilvl="0" w:tplc="A6DCB8F8">
      <w:start w:val="2"/>
      <w:numFmt w:val="decimal"/>
      <w:lvlText w:val="(%1)"/>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6841366">
      <w:start w:val="1"/>
      <w:numFmt w:val="lowerRoman"/>
      <w:lvlText w:val="(%2)"/>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048E30">
      <w:start w:val="1"/>
      <w:numFmt w:val="lowerRoman"/>
      <w:lvlText w:val="(%3)"/>
      <w:lvlJc w:val="left"/>
      <w:pPr>
        <w:ind w:left="26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4082690">
      <w:start w:val="1"/>
      <w:numFmt w:val="decimal"/>
      <w:lvlText w:val="%4"/>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1344972">
      <w:start w:val="1"/>
      <w:numFmt w:val="lowerLetter"/>
      <w:lvlText w:val="%5"/>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0988EB8">
      <w:start w:val="1"/>
      <w:numFmt w:val="lowerRoman"/>
      <w:lvlText w:val="%6"/>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1C15E6">
      <w:start w:val="1"/>
      <w:numFmt w:val="decimal"/>
      <w:lvlText w:val="%7"/>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D12B6D8">
      <w:start w:val="1"/>
      <w:numFmt w:val="lowerLetter"/>
      <w:lvlText w:val="%8"/>
      <w:lvlJc w:val="left"/>
      <w:pPr>
        <w:ind w:left="7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834FEBA">
      <w:start w:val="1"/>
      <w:numFmt w:val="lowerRoman"/>
      <w:lvlText w:val="%9"/>
      <w:lvlJc w:val="left"/>
      <w:pPr>
        <w:ind w:left="7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30991248"/>
    <w:multiLevelType w:val="hybridMultilevel"/>
    <w:tmpl w:val="FA729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122128A"/>
    <w:multiLevelType w:val="hybridMultilevel"/>
    <w:tmpl w:val="CF7C42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6665CD"/>
    <w:multiLevelType w:val="hybridMultilevel"/>
    <w:tmpl w:val="CCFC6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33755649"/>
    <w:multiLevelType w:val="hybridMultilevel"/>
    <w:tmpl w:val="FB26640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3B90F05"/>
    <w:multiLevelType w:val="hybridMultilevel"/>
    <w:tmpl w:val="A902401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40D1DB6"/>
    <w:multiLevelType w:val="hybridMultilevel"/>
    <w:tmpl w:val="14A09E22"/>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491525A"/>
    <w:multiLevelType w:val="hybridMultilevel"/>
    <w:tmpl w:val="2FF42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4B83785"/>
    <w:multiLevelType w:val="hybridMultilevel"/>
    <w:tmpl w:val="53788A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4C51A88"/>
    <w:multiLevelType w:val="hybridMultilevel"/>
    <w:tmpl w:val="1E74BBFA"/>
    <w:lvl w:ilvl="0" w:tplc="E6AAA6AE">
      <w:start w:val="6"/>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0CE4D318">
      <w:start w:val="1"/>
      <w:numFmt w:val="lowerRoman"/>
      <w:lvlText w:val="(%2)"/>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00A981E">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088FCE2">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430F4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BFA458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4AE842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708FE8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E0843F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0" w15:restartNumberingAfterBreak="0">
    <w:nsid w:val="362A1CB0"/>
    <w:multiLevelType w:val="hybridMultilevel"/>
    <w:tmpl w:val="87DC8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75D291F"/>
    <w:multiLevelType w:val="hybridMultilevel"/>
    <w:tmpl w:val="AF6C36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84C72C8"/>
    <w:multiLevelType w:val="hybridMultilevel"/>
    <w:tmpl w:val="4184B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39F0708D"/>
    <w:multiLevelType w:val="hybridMultilevel"/>
    <w:tmpl w:val="32F67CF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A660FB6"/>
    <w:multiLevelType w:val="hybridMultilevel"/>
    <w:tmpl w:val="F3BE74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C107C83"/>
    <w:multiLevelType w:val="hybridMultilevel"/>
    <w:tmpl w:val="0F129C4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DCE43BA"/>
    <w:multiLevelType w:val="hybridMultilevel"/>
    <w:tmpl w:val="DF28B9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EB30D92"/>
    <w:multiLevelType w:val="hybridMultilevel"/>
    <w:tmpl w:val="B0DC81F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EFF0AF0"/>
    <w:multiLevelType w:val="hybridMultilevel"/>
    <w:tmpl w:val="92042F7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17E382C"/>
    <w:multiLevelType w:val="hybridMultilevel"/>
    <w:tmpl w:val="7FF677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1FE66F5"/>
    <w:multiLevelType w:val="hybridMultilevel"/>
    <w:tmpl w:val="1F50C9D8"/>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2D65A5C"/>
    <w:multiLevelType w:val="hybridMultilevel"/>
    <w:tmpl w:val="A32ECB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30E3742"/>
    <w:multiLevelType w:val="hybridMultilevel"/>
    <w:tmpl w:val="2432D4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3C10E76"/>
    <w:multiLevelType w:val="hybridMultilevel"/>
    <w:tmpl w:val="00BC71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46102479"/>
    <w:multiLevelType w:val="hybridMultilevel"/>
    <w:tmpl w:val="E3C6A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8523135"/>
    <w:multiLevelType w:val="hybridMultilevel"/>
    <w:tmpl w:val="1C8C6D5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B1B7E6D"/>
    <w:multiLevelType w:val="hybridMultilevel"/>
    <w:tmpl w:val="CABC0F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4D5908B0"/>
    <w:multiLevelType w:val="hybridMultilevel"/>
    <w:tmpl w:val="F2AEA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DAC0DAE"/>
    <w:multiLevelType w:val="hybridMultilevel"/>
    <w:tmpl w:val="05C0E3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E391A87"/>
    <w:multiLevelType w:val="hybridMultilevel"/>
    <w:tmpl w:val="A0C42486"/>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E8D3D76"/>
    <w:multiLevelType w:val="hybridMultilevel"/>
    <w:tmpl w:val="0B806FFA"/>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32E4CB2"/>
    <w:multiLevelType w:val="hybridMultilevel"/>
    <w:tmpl w:val="3C82B4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45C20CE"/>
    <w:multiLevelType w:val="hybridMultilevel"/>
    <w:tmpl w:val="85A0B6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6F24620"/>
    <w:multiLevelType w:val="hybridMultilevel"/>
    <w:tmpl w:val="FCBE9E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7CB55AC"/>
    <w:multiLevelType w:val="hybridMultilevel"/>
    <w:tmpl w:val="024A2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8EC1D34"/>
    <w:multiLevelType w:val="hybridMultilevel"/>
    <w:tmpl w:val="276EF35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5B3007E7"/>
    <w:multiLevelType w:val="hybridMultilevel"/>
    <w:tmpl w:val="8DE046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B3C5F8B"/>
    <w:multiLevelType w:val="hybridMultilevel"/>
    <w:tmpl w:val="5434BE4E"/>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C2F3734"/>
    <w:multiLevelType w:val="hybridMultilevel"/>
    <w:tmpl w:val="EC0290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C4F7A3C"/>
    <w:multiLevelType w:val="hybridMultilevel"/>
    <w:tmpl w:val="60AC2B80"/>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CF32150"/>
    <w:multiLevelType w:val="hybridMultilevel"/>
    <w:tmpl w:val="702014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CF7334A"/>
    <w:multiLevelType w:val="hybridMultilevel"/>
    <w:tmpl w:val="A86838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5D5E258E"/>
    <w:multiLevelType w:val="hybridMultilevel"/>
    <w:tmpl w:val="0748BBAA"/>
    <w:lvl w:ilvl="0" w:tplc="09AEC376">
      <w:start w:val="1"/>
      <w:numFmt w:val="lowerRoman"/>
      <w:lvlText w:val="(%1)"/>
      <w:lvlJc w:val="left"/>
      <w:pPr>
        <w:ind w:left="1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C7E903A">
      <w:start w:val="1"/>
      <w:numFmt w:val="lowerLetter"/>
      <w:lvlText w:val="%2"/>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9680C8">
      <w:start w:val="1"/>
      <w:numFmt w:val="lowerRoman"/>
      <w:lvlText w:val="%3"/>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3124B6C">
      <w:start w:val="1"/>
      <w:numFmt w:val="decimal"/>
      <w:lvlText w:val="%4"/>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1B81108">
      <w:start w:val="1"/>
      <w:numFmt w:val="lowerLetter"/>
      <w:lvlText w:val="%5"/>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9F075A2">
      <w:start w:val="1"/>
      <w:numFmt w:val="lowerRoman"/>
      <w:lvlText w:val="%6"/>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D202140">
      <w:start w:val="1"/>
      <w:numFmt w:val="decimal"/>
      <w:lvlText w:val="%7"/>
      <w:lvlJc w:val="left"/>
      <w:pPr>
        <w:ind w:left="68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E38E662">
      <w:start w:val="1"/>
      <w:numFmt w:val="lowerLetter"/>
      <w:lvlText w:val="%8"/>
      <w:lvlJc w:val="left"/>
      <w:pPr>
        <w:ind w:left="75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E06D3C8">
      <w:start w:val="1"/>
      <w:numFmt w:val="lowerRoman"/>
      <w:lvlText w:val="%9"/>
      <w:lvlJc w:val="left"/>
      <w:pPr>
        <w:ind w:left="8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3" w15:restartNumberingAfterBreak="0">
    <w:nsid w:val="5D8201B0"/>
    <w:multiLevelType w:val="hybridMultilevel"/>
    <w:tmpl w:val="C66EF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E760D42"/>
    <w:multiLevelType w:val="hybridMultilevel"/>
    <w:tmpl w:val="97FC2C0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5EA0618E"/>
    <w:multiLevelType w:val="hybridMultilevel"/>
    <w:tmpl w:val="931401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F6742E2"/>
    <w:multiLevelType w:val="hybridMultilevel"/>
    <w:tmpl w:val="E72AD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61327D06"/>
    <w:multiLevelType w:val="hybridMultilevel"/>
    <w:tmpl w:val="2714A2C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2C913B7"/>
    <w:multiLevelType w:val="hybridMultilevel"/>
    <w:tmpl w:val="17684FD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2CA283C"/>
    <w:multiLevelType w:val="hybridMultilevel"/>
    <w:tmpl w:val="90D027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34641EA"/>
    <w:multiLevelType w:val="hybridMultilevel"/>
    <w:tmpl w:val="05201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63EE7ADD"/>
    <w:multiLevelType w:val="hybridMultilevel"/>
    <w:tmpl w:val="8F3C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48340BC"/>
    <w:multiLevelType w:val="hybridMultilevel"/>
    <w:tmpl w:val="56AA50C8"/>
    <w:lvl w:ilvl="0" w:tplc="83501842">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EA00018">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2F0FF92">
      <w:start w:val="1"/>
      <w:numFmt w:val="lowerLetter"/>
      <w:lvlRestart w:val="0"/>
      <w:lvlText w:val="(%3)"/>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984278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F72806A">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A56A540">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1728272">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1BCFC46">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8E0E846">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3" w15:restartNumberingAfterBreak="0">
    <w:nsid w:val="64E5046D"/>
    <w:multiLevelType w:val="hybridMultilevel"/>
    <w:tmpl w:val="F67EFC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652B6576"/>
    <w:multiLevelType w:val="hybridMultilevel"/>
    <w:tmpl w:val="7E783E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658451D9"/>
    <w:multiLevelType w:val="hybridMultilevel"/>
    <w:tmpl w:val="71624D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87D5305"/>
    <w:multiLevelType w:val="hybridMultilevel"/>
    <w:tmpl w:val="77161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8BC4FED"/>
    <w:multiLevelType w:val="hybridMultilevel"/>
    <w:tmpl w:val="078CE07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6B461985"/>
    <w:multiLevelType w:val="hybridMultilevel"/>
    <w:tmpl w:val="946A3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6B4E6267"/>
    <w:multiLevelType w:val="hybridMultilevel"/>
    <w:tmpl w:val="9BACC6AA"/>
    <w:lvl w:ilvl="0" w:tplc="EEB085F6">
      <w:start w:val="4"/>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F140F72">
      <w:start w:val="1"/>
      <w:numFmt w:val="lowerLetter"/>
      <w:lvlText w:val="%2"/>
      <w:lvlJc w:val="left"/>
      <w:pPr>
        <w:ind w:left="2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8B4D360">
      <w:start w:val="1"/>
      <w:numFmt w:val="lowerRoman"/>
      <w:lvlText w:val="%3"/>
      <w:lvlJc w:val="left"/>
      <w:pPr>
        <w:ind w:left="30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CEA87AC">
      <w:start w:val="1"/>
      <w:numFmt w:val="decimal"/>
      <w:lvlText w:val="%4"/>
      <w:lvlJc w:val="left"/>
      <w:pPr>
        <w:ind w:left="3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7627C84">
      <w:start w:val="1"/>
      <w:numFmt w:val="lowerLetter"/>
      <w:lvlText w:val="%5"/>
      <w:lvlJc w:val="left"/>
      <w:pPr>
        <w:ind w:left="44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17EF6C4">
      <w:start w:val="1"/>
      <w:numFmt w:val="lowerRoman"/>
      <w:lvlText w:val="%6"/>
      <w:lvlJc w:val="left"/>
      <w:pPr>
        <w:ind w:left="5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3E8240A">
      <w:start w:val="1"/>
      <w:numFmt w:val="decimal"/>
      <w:lvlText w:val="%7"/>
      <w:lvlJc w:val="left"/>
      <w:pPr>
        <w:ind w:left="5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C7C0BAC">
      <w:start w:val="1"/>
      <w:numFmt w:val="lowerLetter"/>
      <w:lvlText w:val="%8"/>
      <w:lvlJc w:val="left"/>
      <w:pPr>
        <w:ind w:left="6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1089B8A">
      <w:start w:val="1"/>
      <w:numFmt w:val="lowerRoman"/>
      <w:lvlText w:val="%9"/>
      <w:lvlJc w:val="left"/>
      <w:pPr>
        <w:ind w:left="7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0" w15:restartNumberingAfterBreak="0">
    <w:nsid w:val="6B805778"/>
    <w:multiLevelType w:val="hybridMultilevel"/>
    <w:tmpl w:val="BE2E9E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6C7178BA"/>
    <w:multiLevelType w:val="hybridMultilevel"/>
    <w:tmpl w:val="A0929264"/>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6C9D1886"/>
    <w:multiLevelType w:val="hybridMultilevel"/>
    <w:tmpl w:val="E8523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6E661A1F"/>
    <w:multiLevelType w:val="hybridMultilevel"/>
    <w:tmpl w:val="9CE6A54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70430B31"/>
    <w:multiLevelType w:val="hybridMultilevel"/>
    <w:tmpl w:val="01D6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71174889"/>
    <w:multiLevelType w:val="hybridMultilevel"/>
    <w:tmpl w:val="D2EC27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72D10648"/>
    <w:multiLevelType w:val="hybridMultilevel"/>
    <w:tmpl w:val="76C608E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733341B8"/>
    <w:multiLevelType w:val="hybridMultilevel"/>
    <w:tmpl w:val="BFB290A4"/>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75946F79"/>
    <w:multiLevelType w:val="hybridMultilevel"/>
    <w:tmpl w:val="6ABAF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77BF1EF1"/>
    <w:multiLevelType w:val="hybridMultilevel"/>
    <w:tmpl w:val="8C66B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79DD5CAB"/>
    <w:multiLevelType w:val="hybridMultilevel"/>
    <w:tmpl w:val="ABE4CA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A5C63AC"/>
    <w:multiLevelType w:val="hybridMultilevel"/>
    <w:tmpl w:val="4FCCB60C"/>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BD61DD3"/>
    <w:multiLevelType w:val="hybridMultilevel"/>
    <w:tmpl w:val="9C72609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7D5574F4"/>
    <w:multiLevelType w:val="hybridMultilevel"/>
    <w:tmpl w:val="2D00A20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E1F3B3C"/>
    <w:multiLevelType w:val="hybridMultilevel"/>
    <w:tmpl w:val="5B9E48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7EF9695E"/>
    <w:multiLevelType w:val="hybridMultilevel"/>
    <w:tmpl w:val="F66C2D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F0A7FE8"/>
    <w:multiLevelType w:val="hybridMultilevel"/>
    <w:tmpl w:val="757A6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15:restartNumberingAfterBreak="0">
    <w:nsid w:val="7F5379BB"/>
    <w:multiLevelType w:val="hybridMultilevel"/>
    <w:tmpl w:val="98A6B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8"/>
  </w:num>
  <w:num w:numId="2">
    <w:abstractNumId w:val="76"/>
  </w:num>
  <w:num w:numId="3">
    <w:abstractNumId w:val="12"/>
  </w:num>
  <w:num w:numId="4">
    <w:abstractNumId w:val="88"/>
  </w:num>
  <w:num w:numId="5">
    <w:abstractNumId w:val="32"/>
  </w:num>
  <w:num w:numId="6">
    <w:abstractNumId w:val="6"/>
  </w:num>
  <w:num w:numId="7">
    <w:abstractNumId w:val="28"/>
  </w:num>
  <w:num w:numId="8">
    <w:abstractNumId w:val="83"/>
  </w:num>
  <w:num w:numId="9">
    <w:abstractNumId w:val="41"/>
  </w:num>
  <w:num w:numId="10">
    <w:abstractNumId w:val="78"/>
  </w:num>
  <w:num w:numId="11">
    <w:abstractNumId w:val="99"/>
  </w:num>
  <w:num w:numId="12">
    <w:abstractNumId w:val="66"/>
  </w:num>
  <w:num w:numId="13">
    <w:abstractNumId w:val="14"/>
  </w:num>
  <w:num w:numId="14">
    <w:abstractNumId w:val="121"/>
  </w:num>
  <w:num w:numId="15">
    <w:abstractNumId w:val="25"/>
  </w:num>
  <w:num w:numId="16">
    <w:abstractNumId w:val="79"/>
  </w:num>
  <w:num w:numId="17">
    <w:abstractNumId w:val="89"/>
  </w:num>
  <w:num w:numId="18">
    <w:abstractNumId w:val="70"/>
  </w:num>
  <w:num w:numId="19">
    <w:abstractNumId w:val="7"/>
  </w:num>
  <w:num w:numId="20">
    <w:abstractNumId w:val="123"/>
  </w:num>
  <w:num w:numId="21">
    <w:abstractNumId w:val="55"/>
  </w:num>
  <w:num w:numId="22">
    <w:abstractNumId w:val="46"/>
  </w:num>
  <w:num w:numId="23">
    <w:abstractNumId w:val="30"/>
  </w:num>
  <w:num w:numId="24">
    <w:abstractNumId w:val="2"/>
  </w:num>
  <w:num w:numId="25">
    <w:abstractNumId w:val="4"/>
  </w:num>
  <w:num w:numId="26">
    <w:abstractNumId w:val="96"/>
  </w:num>
  <w:num w:numId="27">
    <w:abstractNumId w:val="36"/>
  </w:num>
  <w:num w:numId="28">
    <w:abstractNumId w:val="71"/>
  </w:num>
  <w:num w:numId="29">
    <w:abstractNumId w:val="47"/>
  </w:num>
  <w:num w:numId="30">
    <w:abstractNumId w:val="115"/>
  </w:num>
  <w:num w:numId="31">
    <w:abstractNumId w:val="82"/>
  </w:num>
  <w:num w:numId="32">
    <w:abstractNumId w:val="61"/>
  </w:num>
  <w:num w:numId="33">
    <w:abstractNumId w:val="38"/>
  </w:num>
  <w:num w:numId="34">
    <w:abstractNumId w:val="52"/>
  </w:num>
  <w:num w:numId="35">
    <w:abstractNumId w:val="72"/>
  </w:num>
  <w:num w:numId="36">
    <w:abstractNumId w:val="120"/>
  </w:num>
  <w:num w:numId="37">
    <w:abstractNumId w:val="98"/>
  </w:num>
  <w:num w:numId="38">
    <w:abstractNumId w:val="37"/>
  </w:num>
  <w:num w:numId="39">
    <w:abstractNumId w:val="127"/>
  </w:num>
  <w:num w:numId="40">
    <w:abstractNumId w:val="45"/>
  </w:num>
  <w:num w:numId="41">
    <w:abstractNumId w:val="95"/>
  </w:num>
  <w:num w:numId="42">
    <w:abstractNumId w:val="43"/>
  </w:num>
  <w:num w:numId="43">
    <w:abstractNumId w:val="124"/>
  </w:num>
  <w:num w:numId="44">
    <w:abstractNumId w:val="104"/>
  </w:num>
  <w:num w:numId="45">
    <w:abstractNumId w:val="15"/>
  </w:num>
  <w:num w:numId="46">
    <w:abstractNumId w:val="20"/>
  </w:num>
  <w:num w:numId="47">
    <w:abstractNumId w:val="91"/>
  </w:num>
  <w:num w:numId="48">
    <w:abstractNumId w:val="111"/>
  </w:num>
  <w:num w:numId="49">
    <w:abstractNumId w:val="122"/>
  </w:num>
  <w:num w:numId="50">
    <w:abstractNumId w:val="10"/>
  </w:num>
  <w:num w:numId="51">
    <w:abstractNumId w:val="64"/>
  </w:num>
  <w:num w:numId="52">
    <w:abstractNumId w:val="67"/>
  </w:num>
  <w:num w:numId="53">
    <w:abstractNumId w:val="57"/>
  </w:num>
  <w:num w:numId="54">
    <w:abstractNumId w:val="125"/>
  </w:num>
  <w:num w:numId="55">
    <w:abstractNumId w:val="86"/>
  </w:num>
  <w:num w:numId="56">
    <w:abstractNumId w:val="93"/>
  </w:num>
  <w:num w:numId="57">
    <w:abstractNumId w:val="84"/>
  </w:num>
  <w:num w:numId="58">
    <w:abstractNumId w:val="53"/>
  </w:num>
  <w:num w:numId="59">
    <w:abstractNumId w:val="112"/>
  </w:num>
  <w:num w:numId="60">
    <w:abstractNumId w:val="18"/>
  </w:num>
  <w:num w:numId="61">
    <w:abstractNumId w:val="119"/>
  </w:num>
  <w:num w:numId="62">
    <w:abstractNumId w:val="106"/>
  </w:num>
  <w:num w:numId="63">
    <w:abstractNumId w:val="108"/>
  </w:num>
  <w:num w:numId="64">
    <w:abstractNumId w:val="126"/>
  </w:num>
  <w:num w:numId="65">
    <w:abstractNumId w:val="60"/>
  </w:num>
  <w:num w:numId="66">
    <w:abstractNumId w:val="114"/>
  </w:num>
  <w:num w:numId="67">
    <w:abstractNumId w:val="31"/>
  </w:num>
  <w:num w:numId="68">
    <w:abstractNumId w:val="42"/>
  </w:num>
  <w:num w:numId="69">
    <w:abstractNumId w:val="62"/>
  </w:num>
  <w:num w:numId="70">
    <w:abstractNumId w:val="21"/>
  </w:num>
  <w:num w:numId="71">
    <w:abstractNumId w:val="100"/>
  </w:num>
  <w:num w:numId="72">
    <w:abstractNumId w:val="23"/>
  </w:num>
  <w:num w:numId="73">
    <w:abstractNumId w:val="11"/>
  </w:num>
  <w:num w:numId="74">
    <w:abstractNumId w:val="51"/>
  </w:num>
  <w:num w:numId="75">
    <w:abstractNumId w:val="0"/>
  </w:num>
  <w:num w:numId="76">
    <w:abstractNumId w:val="39"/>
  </w:num>
  <w:num w:numId="77">
    <w:abstractNumId w:val="34"/>
  </w:num>
  <w:num w:numId="78">
    <w:abstractNumId w:val="33"/>
  </w:num>
  <w:num w:numId="79">
    <w:abstractNumId w:val="110"/>
  </w:num>
  <w:num w:numId="80">
    <w:abstractNumId w:val="27"/>
  </w:num>
  <w:num w:numId="81">
    <w:abstractNumId w:val="22"/>
  </w:num>
  <w:num w:numId="82">
    <w:abstractNumId w:val="118"/>
  </w:num>
  <w:num w:numId="83">
    <w:abstractNumId w:val="90"/>
  </w:num>
  <w:num w:numId="84">
    <w:abstractNumId w:val="101"/>
  </w:num>
  <w:num w:numId="85">
    <w:abstractNumId w:val="35"/>
  </w:num>
  <w:num w:numId="86">
    <w:abstractNumId w:val="49"/>
  </w:num>
  <w:num w:numId="87">
    <w:abstractNumId w:val="73"/>
  </w:num>
  <w:num w:numId="88">
    <w:abstractNumId w:val="69"/>
  </w:num>
  <w:num w:numId="89">
    <w:abstractNumId w:val="16"/>
  </w:num>
  <w:num w:numId="90">
    <w:abstractNumId w:val="77"/>
  </w:num>
  <w:num w:numId="91">
    <w:abstractNumId w:val="74"/>
  </w:num>
  <w:num w:numId="92">
    <w:abstractNumId w:val="8"/>
  </w:num>
  <w:num w:numId="93">
    <w:abstractNumId w:val="81"/>
  </w:num>
  <w:num w:numId="94">
    <w:abstractNumId w:val="9"/>
  </w:num>
  <w:num w:numId="95">
    <w:abstractNumId w:val="105"/>
  </w:num>
  <w:num w:numId="96">
    <w:abstractNumId w:val="58"/>
  </w:num>
  <w:num w:numId="97">
    <w:abstractNumId w:val="17"/>
  </w:num>
  <w:num w:numId="98">
    <w:abstractNumId w:val="68"/>
  </w:num>
  <w:num w:numId="99">
    <w:abstractNumId w:val="116"/>
  </w:num>
  <w:num w:numId="100">
    <w:abstractNumId w:val="5"/>
  </w:num>
  <w:num w:numId="101">
    <w:abstractNumId w:val="1"/>
  </w:num>
  <w:num w:numId="102">
    <w:abstractNumId w:val="107"/>
  </w:num>
  <w:num w:numId="103">
    <w:abstractNumId w:val="80"/>
  </w:num>
  <w:num w:numId="104">
    <w:abstractNumId w:val="29"/>
  </w:num>
  <w:num w:numId="105">
    <w:abstractNumId w:val="65"/>
  </w:num>
  <w:num w:numId="106">
    <w:abstractNumId w:val="54"/>
  </w:num>
  <w:num w:numId="107">
    <w:abstractNumId w:val="40"/>
  </w:num>
  <w:num w:numId="108">
    <w:abstractNumId w:val="97"/>
  </w:num>
  <w:num w:numId="109">
    <w:abstractNumId w:val="103"/>
  </w:num>
  <w:num w:numId="110">
    <w:abstractNumId w:val="113"/>
  </w:num>
  <w:num w:numId="111">
    <w:abstractNumId w:val="94"/>
  </w:num>
  <w:num w:numId="112">
    <w:abstractNumId w:val="19"/>
  </w:num>
  <w:num w:numId="113">
    <w:abstractNumId w:val="117"/>
  </w:num>
  <w:num w:numId="114">
    <w:abstractNumId w:val="13"/>
  </w:num>
  <w:num w:numId="115">
    <w:abstractNumId w:val="75"/>
  </w:num>
  <w:num w:numId="116">
    <w:abstractNumId w:val="56"/>
  </w:num>
  <w:num w:numId="117">
    <w:abstractNumId w:val="87"/>
  </w:num>
  <w:num w:numId="118">
    <w:abstractNumId w:val="63"/>
  </w:num>
  <w:num w:numId="119">
    <w:abstractNumId w:val="24"/>
  </w:num>
  <w:num w:numId="120">
    <w:abstractNumId w:val="85"/>
  </w:num>
  <w:num w:numId="121">
    <w:abstractNumId w:val="59"/>
  </w:num>
  <w:num w:numId="122">
    <w:abstractNumId w:val="102"/>
  </w:num>
  <w:num w:numId="123">
    <w:abstractNumId w:val="50"/>
  </w:num>
  <w:num w:numId="124">
    <w:abstractNumId w:val="92"/>
  </w:num>
  <w:num w:numId="125">
    <w:abstractNumId w:val="26"/>
  </w:num>
  <w:num w:numId="126">
    <w:abstractNumId w:val="44"/>
  </w:num>
  <w:num w:numId="127">
    <w:abstractNumId w:val="3"/>
  </w:num>
  <w:num w:numId="128">
    <w:abstractNumId w:val="10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7"/>
    <w:rsid w:val="00017322"/>
    <w:rsid w:val="00027B70"/>
    <w:rsid w:val="00037042"/>
    <w:rsid w:val="00064158"/>
    <w:rsid w:val="000B3F63"/>
    <w:rsid w:val="000B5970"/>
    <w:rsid w:val="000C5651"/>
    <w:rsid w:val="000E38B1"/>
    <w:rsid w:val="001128C2"/>
    <w:rsid w:val="001150FE"/>
    <w:rsid w:val="00154274"/>
    <w:rsid w:val="001939A2"/>
    <w:rsid w:val="001A0D55"/>
    <w:rsid w:val="001A7667"/>
    <w:rsid w:val="001B13D4"/>
    <w:rsid w:val="001C66A9"/>
    <w:rsid w:val="001C66C4"/>
    <w:rsid w:val="001E4BCE"/>
    <w:rsid w:val="002321B6"/>
    <w:rsid w:val="00245F0D"/>
    <w:rsid w:val="00257BAE"/>
    <w:rsid w:val="002749A9"/>
    <w:rsid w:val="0031109D"/>
    <w:rsid w:val="00314531"/>
    <w:rsid w:val="00317E1B"/>
    <w:rsid w:val="003405AC"/>
    <w:rsid w:val="00345B73"/>
    <w:rsid w:val="00352E06"/>
    <w:rsid w:val="00374F45"/>
    <w:rsid w:val="003B251E"/>
    <w:rsid w:val="003E4425"/>
    <w:rsid w:val="00410AB0"/>
    <w:rsid w:val="00413694"/>
    <w:rsid w:val="00497228"/>
    <w:rsid w:val="004A1131"/>
    <w:rsid w:val="004B7FFD"/>
    <w:rsid w:val="004E6570"/>
    <w:rsid w:val="004F09B3"/>
    <w:rsid w:val="005A7BE6"/>
    <w:rsid w:val="005C1CFE"/>
    <w:rsid w:val="005C5F02"/>
    <w:rsid w:val="00604774"/>
    <w:rsid w:val="00605FDB"/>
    <w:rsid w:val="00624A58"/>
    <w:rsid w:val="00640832"/>
    <w:rsid w:val="00651F60"/>
    <w:rsid w:val="006647F7"/>
    <w:rsid w:val="006746FD"/>
    <w:rsid w:val="00685415"/>
    <w:rsid w:val="0069410D"/>
    <w:rsid w:val="006D67FC"/>
    <w:rsid w:val="006E6305"/>
    <w:rsid w:val="006F5A25"/>
    <w:rsid w:val="007326EC"/>
    <w:rsid w:val="00733313"/>
    <w:rsid w:val="00737627"/>
    <w:rsid w:val="00747B3B"/>
    <w:rsid w:val="00752ACF"/>
    <w:rsid w:val="00757DB4"/>
    <w:rsid w:val="00771547"/>
    <w:rsid w:val="00790380"/>
    <w:rsid w:val="00797144"/>
    <w:rsid w:val="007D4FDB"/>
    <w:rsid w:val="0083281D"/>
    <w:rsid w:val="00875F3D"/>
    <w:rsid w:val="00905269"/>
    <w:rsid w:val="00947436"/>
    <w:rsid w:val="009506F9"/>
    <w:rsid w:val="00987974"/>
    <w:rsid w:val="00987DE6"/>
    <w:rsid w:val="00994155"/>
    <w:rsid w:val="00A32783"/>
    <w:rsid w:val="00A348AB"/>
    <w:rsid w:val="00A47A10"/>
    <w:rsid w:val="00A71804"/>
    <w:rsid w:val="00AB4350"/>
    <w:rsid w:val="00AE3D54"/>
    <w:rsid w:val="00AE747B"/>
    <w:rsid w:val="00AF0FE3"/>
    <w:rsid w:val="00AF7560"/>
    <w:rsid w:val="00B00626"/>
    <w:rsid w:val="00B06E1E"/>
    <w:rsid w:val="00B42AEA"/>
    <w:rsid w:val="00B52927"/>
    <w:rsid w:val="00B70A82"/>
    <w:rsid w:val="00BB1DCF"/>
    <w:rsid w:val="00C14D5C"/>
    <w:rsid w:val="00C21AF3"/>
    <w:rsid w:val="00C24FC1"/>
    <w:rsid w:val="00C47163"/>
    <w:rsid w:val="00C6006B"/>
    <w:rsid w:val="00C66772"/>
    <w:rsid w:val="00C75F62"/>
    <w:rsid w:val="00C902C8"/>
    <w:rsid w:val="00CB30A5"/>
    <w:rsid w:val="00CD54AB"/>
    <w:rsid w:val="00CE4A18"/>
    <w:rsid w:val="00CE6B88"/>
    <w:rsid w:val="00CF4314"/>
    <w:rsid w:val="00D03985"/>
    <w:rsid w:val="00D06AAE"/>
    <w:rsid w:val="00D21A92"/>
    <w:rsid w:val="00D3792E"/>
    <w:rsid w:val="00D51445"/>
    <w:rsid w:val="00D95DCF"/>
    <w:rsid w:val="00DA6972"/>
    <w:rsid w:val="00DC217E"/>
    <w:rsid w:val="00DE530D"/>
    <w:rsid w:val="00E02DF0"/>
    <w:rsid w:val="00E112B6"/>
    <w:rsid w:val="00E27528"/>
    <w:rsid w:val="00E927A9"/>
    <w:rsid w:val="00EB409B"/>
    <w:rsid w:val="00EE6034"/>
    <w:rsid w:val="00EF002A"/>
    <w:rsid w:val="00F27324"/>
    <w:rsid w:val="00F67602"/>
    <w:rsid w:val="00F7726A"/>
    <w:rsid w:val="00F8315F"/>
    <w:rsid w:val="00F86F78"/>
    <w:rsid w:val="00FB3C9F"/>
    <w:rsid w:val="00FE10ED"/>
    <w:rsid w:val="00FF6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B7E5"/>
  <w15:chartTrackingRefBased/>
  <w15:docId w15:val="{11FBCC7C-73D0-4044-BD28-DB36A681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40832"/>
    <w:pPr>
      <w:keepNext/>
      <w:keepLines/>
      <w:spacing w:after="0"/>
      <w:ind w:left="917" w:hanging="10"/>
      <w:jc w:val="center"/>
      <w:outlineLvl w:val="0"/>
    </w:pPr>
    <w:rPr>
      <w:rFonts w:ascii="Times New Roman" w:eastAsia="Times New Roman" w:hAnsi="Times New Roman" w:cs="Times New Roman"/>
      <w:color w:val="181717"/>
      <w:sz w:val="24"/>
      <w:lang w:eastAsia="en-IN"/>
    </w:rPr>
  </w:style>
  <w:style w:type="paragraph" w:styleId="Heading2">
    <w:name w:val="heading 2"/>
    <w:next w:val="Normal"/>
    <w:link w:val="Heading2Char"/>
    <w:uiPriority w:val="9"/>
    <w:unhideWhenUsed/>
    <w:qFormat/>
    <w:rsid w:val="00640832"/>
    <w:pPr>
      <w:keepNext/>
      <w:keepLines/>
      <w:spacing w:after="0"/>
      <w:ind w:left="1205" w:hanging="10"/>
      <w:jc w:val="right"/>
      <w:outlineLvl w:val="1"/>
    </w:pPr>
    <w:rPr>
      <w:rFonts w:ascii="Times New Roman" w:eastAsia="Times New Roman" w:hAnsi="Times New Roman" w:cs="Times New Roman"/>
      <w:color w:val="181717"/>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F7"/>
    <w:pPr>
      <w:ind w:left="720"/>
      <w:contextualSpacing/>
    </w:pPr>
  </w:style>
  <w:style w:type="paragraph" w:customStyle="1" w:styleId="head">
    <w:name w:val="head"/>
    <w:basedOn w:val="Normal"/>
    <w:rsid w:val="00AE3D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51F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06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58"/>
  </w:style>
  <w:style w:type="paragraph" w:styleId="Footer">
    <w:name w:val="footer"/>
    <w:basedOn w:val="Normal"/>
    <w:link w:val="FooterChar"/>
    <w:uiPriority w:val="99"/>
    <w:unhideWhenUsed/>
    <w:rsid w:val="0006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58"/>
  </w:style>
  <w:style w:type="character" w:styleId="Hyperlink">
    <w:name w:val="Hyperlink"/>
    <w:basedOn w:val="DefaultParagraphFont"/>
    <w:uiPriority w:val="99"/>
    <w:unhideWhenUsed/>
    <w:rsid w:val="00AF7560"/>
    <w:rPr>
      <w:color w:val="0000FF"/>
      <w:u w:val="single"/>
    </w:rPr>
  </w:style>
  <w:style w:type="paragraph" w:styleId="BalloonText">
    <w:name w:val="Balloon Text"/>
    <w:basedOn w:val="Normal"/>
    <w:link w:val="BalloonTextChar"/>
    <w:uiPriority w:val="99"/>
    <w:semiHidden/>
    <w:unhideWhenUsed/>
    <w:rsid w:val="0041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94"/>
    <w:rPr>
      <w:rFonts w:ascii="Segoe UI" w:hAnsi="Segoe UI" w:cs="Segoe UI"/>
      <w:sz w:val="18"/>
      <w:szCs w:val="18"/>
    </w:rPr>
  </w:style>
  <w:style w:type="character" w:styleId="UnresolvedMention">
    <w:name w:val="Unresolved Mention"/>
    <w:basedOn w:val="DefaultParagraphFont"/>
    <w:uiPriority w:val="99"/>
    <w:semiHidden/>
    <w:unhideWhenUsed/>
    <w:rsid w:val="00314531"/>
    <w:rPr>
      <w:color w:val="605E5C"/>
      <w:shd w:val="clear" w:color="auto" w:fill="E1DFDD"/>
    </w:rPr>
  </w:style>
  <w:style w:type="table" w:styleId="TableGrid">
    <w:name w:val="Table Grid"/>
    <w:basedOn w:val="TableNormal"/>
    <w:uiPriority w:val="39"/>
    <w:rsid w:val="0099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832"/>
    <w:rPr>
      <w:rFonts w:ascii="Times New Roman" w:eastAsia="Times New Roman" w:hAnsi="Times New Roman" w:cs="Times New Roman"/>
      <w:color w:val="181717"/>
      <w:sz w:val="24"/>
      <w:lang w:eastAsia="en-IN"/>
    </w:rPr>
  </w:style>
  <w:style w:type="character" w:customStyle="1" w:styleId="Heading2Char">
    <w:name w:val="Heading 2 Char"/>
    <w:basedOn w:val="DefaultParagraphFont"/>
    <w:link w:val="Heading2"/>
    <w:uiPriority w:val="9"/>
    <w:rsid w:val="00640832"/>
    <w:rPr>
      <w:rFonts w:ascii="Times New Roman" w:eastAsia="Times New Roman" w:hAnsi="Times New Roman" w:cs="Times New Roman"/>
      <w:color w:val="181717"/>
      <w:sz w:val="20"/>
      <w:lang w:eastAsia="en-IN"/>
    </w:rPr>
  </w:style>
  <w:style w:type="character" w:styleId="CommentReference">
    <w:name w:val="annotation reference"/>
    <w:basedOn w:val="DefaultParagraphFont"/>
    <w:uiPriority w:val="99"/>
    <w:semiHidden/>
    <w:unhideWhenUsed/>
    <w:rsid w:val="00C24FC1"/>
    <w:rPr>
      <w:sz w:val="16"/>
      <w:szCs w:val="16"/>
    </w:rPr>
  </w:style>
  <w:style w:type="paragraph" w:styleId="CommentText">
    <w:name w:val="annotation text"/>
    <w:basedOn w:val="Normal"/>
    <w:link w:val="CommentTextChar"/>
    <w:uiPriority w:val="99"/>
    <w:semiHidden/>
    <w:unhideWhenUsed/>
    <w:rsid w:val="00C24FC1"/>
    <w:pPr>
      <w:spacing w:line="240" w:lineRule="auto"/>
    </w:pPr>
    <w:rPr>
      <w:sz w:val="20"/>
      <w:szCs w:val="20"/>
    </w:rPr>
  </w:style>
  <w:style w:type="character" w:customStyle="1" w:styleId="CommentTextChar">
    <w:name w:val="Comment Text Char"/>
    <w:basedOn w:val="DefaultParagraphFont"/>
    <w:link w:val="CommentText"/>
    <w:uiPriority w:val="99"/>
    <w:semiHidden/>
    <w:rsid w:val="00C24FC1"/>
    <w:rPr>
      <w:sz w:val="20"/>
      <w:szCs w:val="20"/>
    </w:rPr>
  </w:style>
  <w:style w:type="paragraph" w:styleId="CommentSubject">
    <w:name w:val="annotation subject"/>
    <w:basedOn w:val="CommentText"/>
    <w:next w:val="CommentText"/>
    <w:link w:val="CommentSubjectChar"/>
    <w:uiPriority w:val="99"/>
    <w:semiHidden/>
    <w:unhideWhenUsed/>
    <w:rsid w:val="00C24FC1"/>
    <w:rPr>
      <w:b/>
      <w:bCs/>
    </w:rPr>
  </w:style>
  <w:style w:type="character" w:customStyle="1" w:styleId="CommentSubjectChar">
    <w:name w:val="Comment Subject Char"/>
    <w:basedOn w:val="CommentTextChar"/>
    <w:link w:val="CommentSubject"/>
    <w:uiPriority w:val="99"/>
    <w:semiHidden/>
    <w:rsid w:val="00C24FC1"/>
    <w:rPr>
      <w:b/>
      <w:bCs/>
      <w:sz w:val="20"/>
      <w:szCs w:val="20"/>
    </w:rPr>
  </w:style>
  <w:style w:type="table" w:customStyle="1" w:styleId="TableGrid0">
    <w:name w:val="TableGrid"/>
    <w:rsid w:val="00605FDB"/>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604">
      <w:bodyDiv w:val="1"/>
      <w:marLeft w:val="0"/>
      <w:marRight w:val="0"/>
      <w:marTop w:val="0"/>
      <w:marBottom w:val="0"/>
      <w:divBdr>
        <w:top w:val="none" w:sz="0" w:space="0" w:color="auto"/>
        <w:left w:val="none" w:sz="0" w:space="0" w:color="auto"/>
        <w:bottom w:val="none" w:sz="0" w:space="0" w:color="auto"/>
        <w:right w:val="none" w:sz="0" w:space="0" w:color="auto"/>
      </w:divBdr>
    </w:div>
    <w:div w:id="61761036">
      <w:bodyDiv w:val="1"/>
      <w:marLeft w:val="0"/>
      <w:marRight w:val="0"/>
      <w:marTop w:val="0"/>
      <w:marBottom w:val="0"/>
      <w:divBdr>
        <w:top w:val="none" w:sz="0" w:space="0" w:color="auto"/>
        <w:left w:val="none" w:sz="0" w:space="0" w:color="auto"/>
        <w:bottom w:val="none" w:sz="0" w:space="0" w:color="auto"/>
        <w:right w:val="none" w:sz="0" w:space="0" w:color="auto"/>
      </w:divBdr>
    </w:div>
    <w:div w:id="68039969">
      <w:bodyDiv w:val="1"/>
      <w:marLeft w:val="0"/>
      <w:marRight w:val="0"/>
      <w:marTop w:val="0"/>
      <w:marBottom w:val="0"/>
      <w:divBdr>
        <w:top w:val="none" w:sz="0" w:space="0" w:color="auto"/>
        <w:left w:val="none" w:sz="0" w:space="0" w:color="auto"/>
        <w:bottom w:val="none" w:sz="0" w:space="0" w:color="auto"/>
        <w:right w:val="none" w:sz="0" w:space="0" w:color="auto"/>
      </w:divBdr>
    </w:div>
    <w:div w:id="71245497">
      <w:bodyDiv w:val="1"/>
      <w:marLeft w:val="0"/>
      <w:marRight w:val="0"/>
      <w:marTop w:val="0"/>
      <w:marBottom w:val="0"/>
      <w:divBdr>
        <w:top w:val="none" w:sz="0" w:space="0" w:color="auto"/>
        <w:left w:val="none" w:sz="0" w:space="0" w:color="auto"/>
        <w:bottom w:val="none" w:sz="0" w:space="0" w:color="auto"/>
        <w:right w:val="none" w:sz="0" w:space="0" w:color="auto"/>
      </w:divBdr>
    </w:div>
    <w:div w:id="84617922">
      <w:bodyDiv w:val="1"/>
      <w:marLeft w:val="0"/>
      <w:marRight w:val="0"/>
      <w:marTop w:val="0"/>
      <w:marBottom w:val="0"/>
      <w:divBdr>
        <w:top w:val="none" w:sz="0" w:space="0" w:color="auto"/>
        <w:left w:val="none" w:sz="0" w:space="0" w:color="auto"/>
        <w:bottom w:val="none" w:sz="0" w:space="0" w:color="auto"/>
        <w:right w:val="none" w:sz="0" w:space="0" w:color="auto"/>
      </w:divBdr>
    </w:div>
    <w:div w:id="103234368">
      <w:bodyDiv w:val="1"/>
      <w:marLeft w:val="0"/>
      <w:marRight w:val="0"/>
      <w:marTop w:val="0"/>
      <w:marBottom w:val="0"/>
      <w:divBdr>
        <w:top w:val="none" w:sz="0" w:space="0" w:color="auto"/>
        <w:left w:val="none" w:sz="0" w:space="0" w:color="auto"/>
        <w:bottom w:val="none" w:sz="0" w:space="0" w:color="auto"/>
        <w:right w:val="none" w:sz="0" w:space="0" w:color="auto"/>
      </w:divBdr>
    </w:div>
    <w:div w:id="126163243">
      <w:bodyDiv w:val="1"/>
      <w:marLeft w:val="0"/>
      <w:marRight w:val="0"/>
      <w:marTop w:val="0"/>
      <w:marBottom w:val="0"/>
      <w:divBdr>
        <w:top w:val="none" w:sz="0" w:space="0" w:color="auto"/>
        <w:left w:val="none" w:sz="0" w:space="0" w:color="auto"/>
        <w:bottom w:val="none" w:sz="0" w:space="0" w:color="auto"/>
        <w:right w:val="none" w:sz="0" w:space="0" w:color="auto"/>
      </w:divBdr>
    </w:div>
    <w:div w:id="163514550">
      <w:bodyDiv w:val="1"/>
      <w:marLeft w:val="0"/>
      <w:marRight w:val="0"/>
      <w:marTop w:val="0"/>
      <w:marBottom w:val="0"/>
      <w:divBdr>
        <w:top w:val="none" w:sz="0" w:space="0" w:color="auto"/>
        <w:left w:val="none" w:sz="0" w:space="0" w:color="auto"/>
        <w:bottom w:val="none" w:sz="0" w:space="0" w:color="auto"/>
        <w:right w:val="none" w:sz="0" w:space="0" w:color="auto"/>
      </w:divBdr>
    </w:div>
    <w:div w:id="185143015">
      <w:bodyDiv w:val="1"/>
      <w:marLeft w:val="0"/>
      <w:marRight w:val="0"/>
      <w:marTop w:val="0"/>
      <w:marBottom w:val="0"/>
      <w:divBdr>
        <w:top w:val="none" w:sz="0" w:space="0" w:color="auto"/>
        <w:left w:val="none" w:sz="0" w:space="0" w:color="auto"/>
        <w:bottom w:val="none" w:sz="0" w:space="0" w:color="auto"/>
        <w:right w:val="none" w:sz="0" w:space="0" w:color="auto"/>
      </w:divBdr>
    </w:div>
    <w:div w:id="192228954">
      <w:bodyDiv w:val="1"/>
      <w:marLeft w:val="0"/>
      <w:marRight w:val="0"/>
      <w:marTop w:val="0"/>
      <w:marBottom w:val="0"/>
      <w:divBdr>
        <w:top w:val="none" w:sz="0" w:space="0" w:color="auto"/>
        <w:left w:val="none" w:sz="0" w:space="0" w:color="auto"/>
        <w:bottom w:val="none" w:sz="0" w:space="0" w:color="auto"/>
        <w:right w:val="none" w:sz="0" w:space="0" w:color="auto"/>
      </w:divBdr>
    </w:div>
    <w:div w:id="200628142">
      <w:bodyDiv w:val="1"/>
      <w:marLeft w:val="0"/>
      <w:marRight w:val="0"/>
      <w:marTop w:val="0"/>
      <w:marBottom w:val="0"/>
      <w:divBdr>
        <w:top w:val="none" w:sz="0" w:space="0" w:color="auto"/>
        <w:left w:val="none" w:sz="0" w:space="0" w:color="auto"/>
        <w:bottom w:val="none" w:sz="0" w:space="0" w:color="auto"/>
        <w:right w:val="none" w:sz="0" w:space="0" w:color="auto"/>
      </w:divBdr>
    </w:div>
    <w:div w:id="201602184">
      <w:bodyDiv w:val="1"/>
      <w:marLeft w:val="0"/>
      <w:marRight w:val="0"/>
      <w:marTop w:val="0"/>
      <w:marBottom w:val="0"/>
      <w:divBdr>
        <w:top w:val="none" w:sz="0" w:space="0" w:color="auto"/>
        <w:left w:val="none" w:sz="0" w:space="0" w:color="auto"/>
        <w:bottom w:val="none" w:sz="0" w:space="0" w:color="auto"/>
        <w:right w:val="none" w:sz="0" w:space="0" w:color="auto"/>
      </w:divBdr>
    </w:div>
    <w:div w:id="203055573">
      <w:bodyDiv w:val="1"/>
      <w:marLeft w:val="0"/>
      <w:marRight w:val="0"/>
      <w:marTop w:val="0"/>
      <w:marBottom w:val="0"/>
      <w:divBdr>
        <w:top w:val="none" w:sz="0" w:space="0" w:color="auto"/>
        <w:left w:val="none" w:sz="0" w:space="0" w:color="auto"/>
        <w:bottom w:val="none" w:sz="0" w:space="0" w:color="auto"/>
        <w:right w:val="none" w:sz="0" w:space="0" w:color="auto"/>
      </w:divBdr>
    </w:div>
    <w:div w:id="204220457">
      <w:bodyDiv w:val="1"/>
      <w:marLeft w:val="0"/>
      <w:marRight w:val="0"/>
      <w:marTop w:val="0"/>
      <w:marBottom w:val="0"/>
      <w:divBdr>
        <w:top w:val="none" w:sz="0" w:space="0" w:color="auto"/>
        <w:left w:val="none" w:sz="0" w:space="0" w:color="auto"/>
        <w:bottom w:val="none" w:sz="0" w:space="0" w:color="auto"/>
        <w:right w:val="none" w:sz="0" w:space="0" w:color="auto"/>
      </w:divBdr>
    </w:div>
    <w:div w:id="230777700">
      <w:bodyDiv w:val="1"/>
      <w:marLeft w:val="0"/>
      <w:marRight w:val="0"/>
      <w:marTop w:val="0"/>
      <w:marBottom w:val="0"/>
      <w:divBdr>
        <w:top w:val="none" w:sz="0" w:space="0" w:color="auto"/>
        <w:left w:val="none" w:sz="0" w:space="0" w:color="auto"/>
        <w:bottom w:val="none" w:sz="0" w:space="0" w:color="auto"/>
        <w:right w:val="none" w:sz="0" w:space="0" w:color="auto"/>
      </w:divBdr>
    </w:div>
    <w:div w:id="239948468">
      <w:bodyDiv w:val="1"/>
      <w:marLeft w:val="0"/>
      <w:marRight w:val="0"/>
      <w:marTop w:val="0"/>
      <w:marBottom w:val="0"/>
      <w:divBdr>
        <w:top w:val="none" w:sz="0" w:space="0" w:color="auto"/>
        <w:left w:val="none" w:sz="0" w:space="0" w:color="auto"/>
        <w:bottom w:val="none" w:sz="0" w:space="0" w:color="auto"/>
        <w:right w:val="none" w:sz="0" w:space="0" w:color="auto"/>
      </w:divBdr>
    </w:div>
    <w:div w:id="272128842">
      <w:bodyDiv w:val="1"/>
      <w:marLeft w:val="0"/>
      <w:marRight w:val="0"/>
      <w:marTop w:val="0"/>
      <w:marBottom w:val="0"/>
      <w:divBdr>
        <w:top w:val="none" w:sz="0" w:space="0" w:color="auto"/>
        <w:left w:val="none" w:sz="0" w:space="0" w:color="auto"/>
        <w:bottom w:val="none" w:sz="0" w:space="0" w:color="auto"/>
        <w:right w:val="none" w:sz="0" w:space="0" w:color="auto"/>
      </w:divBdr>
    </w:div>
    <w:div w:id="293146012">
      <w:bodyDiv w:val="1"/>
      <w:marLeft w:val="0"/>
      <w:marRight w:val="0"/>
      <w:marTop w:val="0"/>
      <w:marBottom w:val="0"/>
      <w:divBdr>
        <w:top w:val="none" w:sz="0" w:space="0" w:color="auto"/>
        <w:left w:val="none" w:sz="0" w:space="0" w:color="auto"/>
        <w:bottom w:val="none" w:sz="0" w:space="0" w:color="auto"/>
        <w:right w:val="none" w:sz="0" w:space="0" w:color="auto"/>
      </w:divBdr>
    </w:div>
    <w:div w:id="295306000">
      <w:bodyDiv w:val="1"/>
      <w:marLeft w:val="0"/>
      <w:marRight w:val="0"/>
      <w:marTop w:val="0"/>
      <w:marBottom w:val="0"/>
      <w:divBdr>
        <w:top w:val="none" w:sz="0" w:space="0" w:color="auto"/>
        <w:left w:val="none" w:sz="0" w:space="0" w:color="auto"/>
        <w:bottom w:val="none" w:sz="0" w:space="0" w:color="auto"/>
        <w:right w:val="none" w:sz="0" w:space="0" w:color="auto"/>
      </w:divBdr>
    </w:div>
    <w:div w:id="345979924">
      <w:bodyDiv w:val="1"/>
      <w:marLeft w:val="0"/>
      <w:marRight w:val="0"/>
      <w:marTop w:val="0"/>
      <w:marBottom w:val="0"/>
      <w:divBdr>
        <w:top w:val="none" w:sz="0" w:space="0" w:color="auto"/>
        <w:left w:val="none" w:sz="0" w:space="0" w:color="auto"/>
        <w:bottom w:val="none" w:sz="0" w:space="0" w:color="auto"/>
        <w:right w:val="none" w:sz="0" w:space="0" w:color="auto"/>
      </w:divBdr>
    </w:div>
    <w:div w:id="349912014">
      <w:bodyDiv w:val="1"/>
      <w:marLeft w:val="0"/>
      <w:marRight w:val="0"/>
      <w:marTop w:val="0"/>
      <w:marBottom w:val="0"/>
      <w:divBdr>
        <w:top w:val="none" w:sz="0" w:space="0" w:color="auto"/>
        <w:left w:val="none" w:sz="0" w:space="0" w:color="auto"/>
        <w:bottom w:val="none" w:sz="0" w:space="0" w:color="auto"/>
        <w:right w:val="none" w:sz="0" w:space="0" w:color="auto"/>
      </w:divBdr>
    </w:div>
    <w:div w:id="361785949">
      <w:bodyDiv w:val="1"/>
      <w:marLeft w:val="0"/>
      <w:marRight w:val="0"/>
      <w:marTop w:val="0"/>
      <w:marBottom w:val="0"/>
      <w:divBdr>
        <w:top w:val="none" w:sz="0" w:space="0" w:color="auto"/>
        <w:left w:val="none" w:sz="0" w:space="0" w:color="auto"/>
        <w:bottom w:val="none" w:sz="0" w:space="0" w:color="auto"/>
        <w:right w:val="none" w:sz="0" w:space="0" w:color="auto"/>
      </w:divBdr>
    </w:div>
    <w:div w:id="365526921">
      <w:bodyDiv w:val="1"/>
      <w:marLeft w:val="0"/>
      <w:marRight w:val="0"/>
      <w:marTop w:val="0"/>
      <w:marBottom w:val="0"/>
      <w:divBdr>
        <w:top w:val="none" w:sz="0" w:space="0" w:color="auto"/>
        <w:left w:val="none" w:sz="0" w:space="0" w:color="auto"/>
        <w:bottom w:val="none" w:sz="0" w:space="0" w:color="auto"/>
        <w:right w:val="none" w:sz="0" w:space="0" w:color="auto"/>
      </w:divBdr>
    </w:div>
    <w:div w:id="410468967">
      <w:bodyDiv w:val="1"/>
      <w:marLeft w:val="0"/>
      <w:marRight w:val="0"/>
      <w:marTop w:val="0"/>
      <w:marBottom w:val="0"/>
      <w:divBdr>
        <w:top w:val="none" w:sz="0" w:space="0" w:color="auto"/>
        <w:left w:val="none" w:sz="0" w:space="0" w:color="auto"/>
        <w:bottom w:val="none" w:sz="0" w:space="0" w:color="auto"/>
        <w:right w:val="none" w:sz="0" w:space="0" w:color="auto"/>
      </w:divBdr>
    </w:div>
    <w:div w:id="450632737">
      <w:bodyDiv w:val="1"/>
      <w:marLeft w:val="0"/>
      <w:marRight w:val="0"/>
      <w:marTop w:val="0"/>
      <w:marBottom w:val="0"/>
      <w:divBdr>
        <w:top w:val="none" w:sz="0" w:space="0" w:color="auto"/>
        <w:left w:val="none" w:sz="0" w:space="0" w:color="auto"/>
        <w:bottom w:val="none" w:sz="0" w:space="0" w:color="auto"/>
        <w:right w:val="none" w:sz="0" w:space="0" w:color="auto"/>
      </w:divBdr>
    </w:div>
    <w:div w:id="451290501">
      <w:bodyDiv w:val="1"/>
      <w:marLeft w:val="0"/>
      <w:marRight w:val="0"/>
      <w:marTop w:val="0"/>
      <w:marBottom w:val="0"/>
      <w:divBdr>
        <w:top w:val="none" w:sz="0" w:space="0" w:color="auto"/>
        <w:left w:val="none" w:sz="0" w:space="0" w:color="auto"/>
        <w:bottom w:val="none" w:sz="0" w:space="0" w:color="auto"/>
        <w:right w:val="none" w:sz="0" w:space="0" w:color="auto"/>
      </w:divBdr>
    </w:div>
    <w:div w:id="495657690">
      <w:bodyDiv w:val="1"/>
      <w:marLeft w:val="0"/>
      <w:marRight w:val="0"/>
      <w:marTop w:val="0"/>
      <w:marBottom w:val="0"/>
      <w:divBdr>
        <w:top w:val="none" w:sz="0" w:space="0" w:color="auto"/>
        <w:left w:val="none" w:sz="0" w:space="0" w:color="auto"/>
        <w:bottom w:val="none" w:sz="0" w:space="0" w:color="auto"/>
        <w:right w:val="none" w:sz="0" w:space="0" w:color="auto"/>
      </w:divBdr>
    </w:div>
    <w:div w:id="513081572">
      <w:bodyDiv w:val="1"/>
      <w:marLeft w:val="0"/>
      <w:marRight w:val="0"/>
      <w:marTop w:val="0"/>
      <w:marBottom w:val="0"/>
      <w:divBdr>
        <w:top w:val="none" w:sz="0" w:space="0" w:color="auto"/>
        <w:left w:val="none" w:sz="0" w:space="0" w:color="auto"/>
        <w:bottom w:val="none" w:sz="0" w:space="0" w:color="auto"/>
        <w:right w:val="none" w:sz="0" w:space="0" w:color="auto"/>
      </w:divBdr>
    </w:div>
    <w:div w:id="592665222">
      <w:bodyDiv w:val="1"/>
      <w:marLeft w:val="0"/>
      <w:marRight w:val="0"/>
      <w:marTop w:val="0"/>
      <w:marBottom w:val="0"/>
      <w:divBdr>
        <w:top w:val="none" w:sz="0" w:space="0" w:color="auto"/>
        <w:left w:val="none" w:sz="0" w:space="0" w:color="auto"/>
        <w:bottom w:val="none" w:sz="0" w:space="0" w:color="auto"/>
        <w:right w:val="none" w:sz="0" w:space="0" w:color="auto"/>
      </w:divBdr>
    </w:div>
    <w:div w:id="612059459">
      <w:bodyDiv w:val="1"/>
      <w:marLeft w:val="0"/>
      <w:marRight w:val="0"/>
      <w:marTop w:val="0"/>
      <w:marBottom w:val="0"/>
      <w:divBdr>
        <w:top w:val="none" w:sz="0" w:space="0" w:color="auto"/>
        <w:left w:val="none" w:sz="0" w:space="0" w:color="auto"/>
        <w:bottom w:val="none" w:sz="0" w:space="0" w:color="auto"/>
        <w:right w:val="none" w:sz="0" w:space="0" w:color="auto"/>
      </w:divBdr>
    </w:div>
    <w:div w:id="624459434">
      <w:bodyDiv w:val="1"/>
      <w:marLeft w:val="0"/>
      <w:marRight w:val="0"/>
      <w:marTop w:val="0"/>
      <w:marBottom w:val="0"/>
      <w:divBdr>
        <w:top w:val="none" w:sz="0" w:space="0" w:color="auto"/>
        <w:left w:val="none" w:sz="0" w:space="0" w:color="auto"/>
        <w:bottom w:val="none" w:sz="0" w:space="0" w:color="auto"/>
        <w:right w:val="none" w:sz="0" w:space="0" w:color="auto"/>
      </w:divBdr>
    </w:div>
    <w:div w:id="631524319">
      <w:bodyDiv w:val="1"/>
      <w:marLeft w:val="0"/>
      <w:marRight w:val="0"/>
      <w:marTop w:val="0"/>
      <w:marBottom w:val="0"/>
      <w:divBdr>
        <w:top w:val="none" w:sz="0" w:space="0" w:color="auto"/>
        <w:left w:val="none" w:sz="0" w:space="0" w:color="auto"/>
        <w:bottom w:val="none" w:sz="0" w:space="0" w:color="auto"/>
        <w:right w:val="none" w:sz="0" w:space="0" w:color="auto"/>
      </w:divBdr>
    </w:div>
    <w:div w:id="649557934">
      <w:bodyDiv w:val="1"/>
      <w:marLeft w:val="0"/>
      <w:marRight w:val="0"/>
      <w:marTop w:val="0"/>
      <w:marBottom w:val="0"/>
      <w:divBdr>
        <w:top w:val="none" w:sz="0" w:space="0" w:color="auto"/>
        <w:left w:val="none" w:sz="0" w:space="0" w:color="auto"/>
        <w:bottom w:val="none" w:sz="0" w:space="0" w:color="auto"/>
        <w:right w:val="none" w:sz="0" w:space="0" w:color="auto"/>
      </w:divBdr>
    </w:div>
    <w:div w:id="685638225">
      <w:bodyDiv w:val="1"/>
      <w:marLeft w:val="0"/>
      <w:marRight w:val="0"/>
      <w:marTop w:val="0"/>
      <w:marBottom w:val="0"/>
      <w:divBdr>
        <w:top w:val="none" w:sz="0" w:space="0" w:color="auto"/>
        <w:left w:val="none" w:sz="0" w:space="0" w:color="auto"/>
        <w:bottom w:val="none" w:sz="0" w:space="0" w:color="auto"/>
        <w:right w:val="none" w:sz="0" w:space="0" w:color="auto"/>
      </w:divBdr>
    </w:div>
    <w:div w:id="693658067">
      <w:bodyDiv w:val="1"/>
      <w:marLeft w:val="0"/>
      <w:marRight w:val="0"/>
      <w:marTop w:val="0"/>
      <w:marBottom w:val="0"/>
      <w:divBdr>
        <w:top w:val="none" w:sz="0" w:space="0" w:color="auto"/>
        <w:left w:val="none" w:sz="0" w:space="0" w:color="auto"/>
        <w:bottom w:val="none" w:sz="0" w:space="0" w:color="auto"/>
        <w:right w:val="none" w:sz="0" w:space="0" w:color="auto"/>
      </w:divBdr>
    </w:div>
    <w:div w:id="697698589">
      <w:bodyDiv w:val="1"/>
      <w:marLeft w:val="0"/>
      <w:marRight w:val="0"/>
      <w:marTop w:val="0"/>
      <w:marBottom w:val="0"/>
      <w:divBdr>
        <w:top w:val="none" w:sz="0" w:space="0" w:color="auto"/>
        <w:left w:val="none" w:sz="0" w:space="0" w:color="auto"/>
        <w:bottom w:val="none" w:sz="0" w:space="0" w:color="auto"/>
        <w:right w:val="none" w:sz="0" w:space="0" w:color="auto"/>
      </w:divBdr>
    </w:div>
    <w:div w:id="723718236">
      <w:bodyDiv w:val="1"/>
      <w:marLeft w:val="0"/>
      <w:marRight w:val="0"/>
      <w:marTop w:val="0"/>
      <w:marBottom w:val="0"/>
      <w:divBdr>
        <w:top w:val="none" w:sz="0" w:space="0" w:color="auto"/>
        <w:left w:val="none" w:sz="0" w:space="0" w:color="auto"/>
        <w:bottom w:val="none" w:sz="0" w:space="0" w:color="auto"/>
        <w:right w:val="none" w:sz="0" w:space="0" w:color="auto"/>
      </w:divBdr>
    </w:div>
    <w:div w:id="755054616">
      <w:bodyDiv w:val="1"/>
      <w:marLeft w:val="0"/>
      <w:marRight w:val="0"/>
      <w:marTop w:val="0"/>
      <w:marBottom w:val="0"/>
      <w:divBdr>
        <w:top w:val="none" w:sz="0" w:space="0" w:color="auto"/>
        <w:left w:val="none" w:sz="0" w:space="0" w:color="auto"/>
        <w:bottom w:val="none" w:sz="0" w:space="0" w:color="auto"/>
        <w:right w:val="none" w:sz="0" w:space="0" w:color="auto"/>
      </w:divBdr>
    </w:div>
    <w:div w:id="761608470">
      <w:bodyDiv w:val="1"/>
      <w:marLeft w:val="0"/>
      <w:marRight w:val="0"/>
      <w:marTop w:val="0"/>
      <w:marBottom w:val="0"/>
      <w:divBdr>
        <w:top w:val="none" w:sz="0" w:space="0" w:color="auto"/>
        <w:left w:val="none" w:sz="0" w:space="0" w:color="auto"/>
        <w:bottom w:val="none" w:sz="0" w:space="0" w:color="auto"/>
        <w:right w:val="none" w:sz="0" w:space="0" w:color="auto"/>
      </w:divBdr>
    </w:div>
    <w:div w:id="768813363">
      <w:bodyDiv w:val="1"/>
      <w:marLeft w:val="0"/>
      <w:marRight w:val="0"/>
      <w:marTop w:val="0"/>
      <w:marBottom w:val="0"/>
      <w:divBdr>
        <w:top w:val="none" w:sz="0" w:space="0" w:color="auto"/>
        <w:left w:val="none" w:sz="0" w:space="0" w:color="auto"/>
        <w:bottom w:val="none" w:sz="0" w:space="0" w:color="auto"/>
        <w:right w:val="none" w:sz="0" w:space="0" w:color="auto"/>
      </w:divBdr>
    </w:div>
    <w:div w:id="813791302">
      <w:bodyDiv w:val="1"/>
      <w:marLeft w:val="0"/>
      <w:marRight w:val="0"/>
      <w:marTop w:val="0"/>
      <w:marBottom w:val="0"/>
      <w:divBdr>
        <w:top w:val="none" w:sz="0" w:space="0" w:color="auto"/>
        <w:left w:val="none" w:sz="0" w:space="0" w:color="auto"/>
        <w:bottom w:val="none" w:sz="0" w:space="0" w:color="auto"/>
        <w:right w:val="none" w:sz="0" w:space="0" w:color="auto"/>
      </w:divBdr>
    </w:div>
    <w:div w:id="825783238">
      <w:bodyDiv w:val="1"/>
      <w:marLeft w:val="0"/>
      <w:marRight w:val="0"/>
      <w:marTop w:val="0"/>
      <w:marBottom w:val="0"/>
      <w:divBdr>
        <w:top w:val="none" w:sz="0" w:space="0" w:color="auto"/>
        <w:left w:val="none" w:sz="0" w:space="0" w:color="auto"/>
        <w:bottom w:val="none" w:sz="0" w:space="0" w:color="auto"/>
        <w:right w:val="none" w:sz="0" w:space="0" w:color="auto"/>
      </w:divBdr>
    </w:div>
    <w:div w:id="870846797">
      <w:bodyDiv w:val="1"/>
      <w:marLeft w:val="0"/>
      <w:marRight w:val="0"/>
      <w:marTop w:val="0"/>
      <w:marBottom w:val="0"/>
      <w:divBdr>
        <w:top w:val="none" w:sz="0" w:space="0" w:color="auto"/>
        <w:left w:val="none" w:sz="0" w:space="0" w:color="auto"/>
        <w:bottom w:val="none" w:sz="0" w:space="0" w:color="auto"/>
        <w:right w:val="none" w:sz="0" w:space="0" w:color="auto"/>
      </w:divBdr>
    </w:div>
    <w:div w:id="878125241">
      <w:bodyDiv w:val="1"/>
      <w:marLeft w:val="0"/>
      <w:marRight w:val="0"/>
      <w:marTop w:val="0"/>
      <w:marBottom w:val="0"/>
      <w:divBdr>
        <w:top w:val="none" w:sz="0" w:space="0" w:color="auto"/>
        <w:left w:val="none" w:sz="0" w:space="0" w:color="auto"/>
        <w:bottom w:val="none" w:sz="0" w:space="0" w:color="auto"/>
        <w:right w:val="none" w:sz="0" w:space="0" w:color="auto"/>
      </w:divBdr>
    </w:div>
    <w:div w:id="890269774">
      <w:bodyDiv w:val="1"/>
      <w:marLeft w:val="0"/>
      <w:marRight w:val="0"/>
      <w:marTop w:val="0"/>
      <w:marBottom w:val="0"/>
      <w:divBdr>
        <w:top w:val="none" w:sz="0" w:space="0" w:color="auto"/>
        <w:left w:val="none" w:sz="0" w:space="0" w:color="auto"/>
        <w:bottom w:val="none" w:sz="0" w:space="0" w:color="auto"/>
        <w:right w:val="none" w:sz="0" w:space="0" w:color="auto"/>
      </w:divBdr>
    </w:div>
    <w:div w:id="900680224">
      <w:bodyDiv w:val="1"/>
      <w:marLeft w:val="0"/>
      <w:marRight w:val="0"/>
      <w:marTop w:val="0"/>
      <w:marBottom w:val="0"/>
      <w:divBdr>
        <w:top w:val="none" w:sz="0" w:space="0" w:color="auto"/>
        <w:left w:val="none" w:sz="0" w:space="0" w:color="auto"/>
        <w:bottom w:val="none" w:sz="0" w:space="0" w:color="auto"/>
        <w:right w:val="none" w:sz="0" w:space="0" w:color="auto"/>
      </w:divBdr>
    </w:div>
    <w:div w:id="903177620">
      <w:bodyDiv w:val="1"/>
      <w:marLeft w:val="0"/>
      <w:marRight w:val="0"/>
      <w:marTop w:val="0"/>
      <w:marBottom w:val="0"/>
      <w:divBdr>
        <w:top w:val="none" w:sz="0" w:space="0" w:color="auto"/>
        <w:left w:val="none" w:sz="0" w:space="0" w:color="auto"/>
        <w:bottom w:val="none" w:sz="0" w:space="0" w:color="auto"/>
        <w:right w:val="none" w:sz="0" w:space="0" w:color="auto"/>
      </w:divBdr>
    </w:div>
    <w:div w:id="912469844">
      <w:bodyDiv w:val="1"/>
      <w:marLeft w:val="0"/>
      <w:marRight w:val="0"/>
      <w:marTop w:val="0"/>
      <w:marBottom w:val="0"/>
      <w:divBdr>
        <w:top w:val="none" w:sz="0" w:space="0" w:color="auto"/>
        <w:left w:val="none" w:sz="0" w:space="0" w:color="auto"/>
        <w:bottom w:val="none" w:sz="0" w:space="0" w:color="auto"/>
        <w:right w:val="none" w:sz="0" w:space="0" w:color="auto"/>
      </w:divBdr>
    </w:div>
    <w:div w:id="924919735">
      <w:bodyDiv w:val="1"/>
      <w:marLeft w:val="0"/>
      <w:marRight w:val="0"/>
      <w:marTop w:val="0"/>
      <w:marBottom w:val="0"/>
      <w:divBdr>
        <w:top w:val="none" w:sz="0" w:space="0" w:color="auto"/>
        <w:left w:val="none" w:sz="0" w:space="0" w:color="auto"/>
        <w:bottom w:val="none" w:sz="0" w:space="0" w:color="auto"/>
        <w:right w:val="none" w:sz="0" w:space="0" w:color="auto"/>
      </w:divBdr>
    </w:div>
    <w:div w:id="933585641">
      <w:bodyDiv w:val="1"/>
      <w:marLeft w:val="0"/>
      <w:marRight w:val="0"/>
      <w:marTop w:val="0"/>
      <w:marBottom w:val="0"/>
      <w:divBdr>
        <w:top w:val="none" w:sz="0" w:space="0" w:color="auto"/>
        <w:left w:val="none" w:sz="0" w:space="0" w:color="auto"/>
        <w:bottom w:val="none" w:sz="0" w:space="0" w:color="auto"/>
        <w:right w:val="none" w:sz="0" w:space="0" w:color="auto"/>
      </w:divBdr>
    </w:div>
    <w:div w:id="936712523">
      <w:bodyDiv w:val="1"/>
      <w:marLeft w:val="0"/>
      <w:marRight w:val="0"/>
      <w:marTop w:val="0"/>
      <w:marBottom w:val="0"/>
      <w:divBdr>
        <w:top w:val="none" w:sz="0" w:space="0" w:color="auto"/>
        <w:left w:val="none" w:sz="0" w:space="0" w:color="auto"/>
        <w:bottom w:val="none" w:sz="0" w:space="0" w:color="auto"/>
        <w:right w:val="none" w:sz="0" w:space="0" w:color="auto"/>
      </w:divBdr>
    </w:div>
    <w:div w:id="945431388">
      <w:bodyDiv w:val="1"/>
      <w:marLeft w:val="0"/>
      <w:marRight w:val="0"/>
      <w:marTop w:val="0"/>
      <w:marBottom w:val="0"/>
      <w:divBdr>
        <w:top w:val="none" w:sz="0" w:space="0" w:color="auto"/>
        <w:left w:val="none" w:sz="0" w:space="0" w:color="auto"/>
        <w:bottom w:val="none" w:sz="0" w:space="0" w:color="auto"/>
        <w:right w:val="none" w:sz="0" w:space="0" w:color="auto"/>
      </w:divBdr>
    </w:div>
    <w:div w:id="964116300">
      <w:bodyDiv w:val="1"/>
      <w:marLeft w:val="0"/>
      <w:marRight w:val="0"/>
      <w:marTop w:val="0"/>
      <w:marBottom w:val="0"/>
      <w:divBdr>
        <w:top w:val="none" w:sz="0" w:space="0" w:color="auto"/>
        <w:left w:val="none" w:sz="0" w:space="0" w:color="auto"/>
        <w:bottom w:val="none" w:sz="0" w:space="0" w:color="auto"/>
        <w:right w:val="none" w:sz="0" w:space="0" w:color="auto"/>
      </w:divBdr>
    </w:div>
    <w:div w:id="975330319">
      <w:bodyDiv w:val="1"/>
      <w:marLeft w:val="0"/>
      <w:marRight w:val="0"/>
      <w:marTop w:val="0"/>
      <w:marBottom w:val="0"/>
      <w:divBdr>
        <w:top w:val="none" w:sz="0" w:space="0" w:color="auto"/>
        <w:left w:val="none" w:sz="0" w:space="0" w:color="auto"/>
        <w:bottom w:val="none" w:sz="0" w:space="0" w:color="auto"/>
        <w:right w:val="none" w:sz="0" w:space="0" w:color="auto"/>
      </w:divBdr>
    </w:div>
    <w:div w:id="996225198">
      <w:bodyDiv w:val="1"/>
      <w:marLeft w:val="0"/>
      <w:marRight w:val="0"/>
      <w:marTop w:val="0"/>
      <w:marBottom w:val="0"/>
      <w:divBdr>
        <w:top w:val="none" w:sz="0" w:space="0" w:color="auto"/>
        <w:left w:val="none" w:sz="0" w:space="0" w:color="auto"/>
        <w:bottom w:val="none" w:sz="0" w:space="0" w:color="auto"/>
        <w:right w:val="none" w:sz="0" w:space="0" w:color="auto"/>
      </w:divBdr>
    </w:div>
    <w:div w:id="1028215555">
      <w:bodyDiv w:val="1"/>
      <w:marLeft w:val="0"/>
      <w:marRight w:val="0"/>
      <w:marTop w:val="0"/>
      <w:marBottom w:val="0"/>
      <w:divBdr>
        <w:top w:val="none" w:sz="0" w:space="0" w:color="auto"/>
        <w:left w:val="none" w:sz="0" w:space="0" w:color="auto"/>
        <w:bottom w:val="none" w:sz="0" w:space="0" w:color="auto"/>
        <w:right w:val="none" w:sz="0" w:space="0" w:color="auto"/>
      </w:divBdr>
    </w:div>
    <w:div w:id="1101338531">
      <w:bodyDiv w:val="1"/>
      <w:marLeft w:val="0"/>
      <w:marRight w:val="0"/>
      <w:marTop w:val="0"/>
      <w:marBottom w:val="0"/>
      <w:divBdr>
        <w:top w:val="none" w:sz="0" w:space="0" w:color="auto"/>
        <w:left w:val="none" w:sz="0" w:space="0" w:color="auto"/>
        <w:bottom w:val="none" w:sz="0" w:space="0" w:color="auto"/>
        <w:right w:val="none" w:sz="0" w:space="0" w:color="auto"/>
      </w:divBdr>
    </w:div>
    <w:div w:id="1143543275">
      <w:bodyDiv w:val="1"/>
      <w:marLeft w:val="0"/>
      <w:marRight w:val="0"/>
      <w:marTop w:val="0"/>
      <w:marBottom w:val="0"/>
      <w:divBdr>
        <w:top w:val="none" w:sz="0" w:space="0" w:color="auto"/>
        <w:left w:val="none" w:sz="0" w:space="0" w:color="auto"/>
        <w:bottom w:val="none" w:sz="0" w:space="0" w:color="auto"/>
        <w:right w:val="none" w:sz="0" w:space="0" w:color="auto"/>
      </w:divBdr>
    </w:div>
    <w:div w:id="1144617042">
      <w:bodyDiv w:val="1"/>
      <w:marLeft w:val="0"/>
      <w:marRight w:val="0"/>
      <w:marTop w:val="0"/>
      <w:marBottom w:val="0"/>
      <w:divBdr>
        <w:top w:val="none" w:sz="0" w:space="0" w:color="auto"/>
        <w:left w:val="none" w:sz="0" w:space="0" w:color="auto"/>
        <w:bottom w:val="none" w:sz="0" w:space="0" w:color="auto"/>
        <w:right w:val="none" w:sz="0" w:space="0" w:color="auto"/>
      </w:divBdr>
    </w:div>
    <w:div w:id="1153833405">
      <w:bodyDiv w:val="1"/>
      <w:marLeft w:val="0"/>
      <w:marRight w:val="0"/>
      <w:marTop w:val="0"/>
      <w:marBottom w:val="0"/>
      <w:divBdr>
        <w:top w:val="none" w:sz="0" w:space="0" w:color="auto"/>
        <w:left w:val="none" w:sz="0" w:space="0" w:color="auto"/>
        <w:bottom w:val="none" w:sz="0" w:space="0" w:color="auto"/>
        <w:right w:val="none" w:sz="0" w:space="0" w:color="auto"/>
      </w:divBdr>
    </w:div>
    <w:div w:id="1162045798">
      <w:bodyDiv w:val="1"/>
      <w:marLeft w:val="0"/>
      <w:marRight w:val="0"/>
      <w:marTop w:val="0"/>
      <w:marBottom w:val="0"/>
      <w:divBdr>
        <w:top w:val="none" w:sz="0" w:space="0" w:color="auto"/>
        <w:left w:val="none" w:sz="0" w:space="0" w:color="auto"/>
        <w:bottom w:val="none" w:sz="0" w:space="0" w:color="auto"/>
        <w:right w:val="none" w:sz="0" w:space="0" w:color="auto"/>
      </w:divBdr>
    </w:div>
    <w:div w:id="1219972867">
      <w:bodyDiv w:val="1"/>
      <w:marLeft w:val="0"/>
      <w:marRight w:val="0"/>
      <w:marTop w:val="0"/>
      <w:marBottom w:val="0"/>
      <w:divBdr>
        <w:top w:val="none" w:sz="0" w:space="0" w:color="auto"/>
        <w:left w:val="none" w:sz="0" w:space="0" w:color="auto"/>
        <w:bottom w:val="none" w:sz="0" w:space="0" w:color="auto"/>
        <w:right w:val="none" w:sz="0" w:space="0" w:color="auto"/>
      </w:divBdr>
    </w:div>
    <w:div w:id="1223907075">
      <w:bodyDiv w:val="1"/>
      <w:marLeft w:val="0"/>
      <w:marRight w:val="0"/>
      <w:marTop w:val="0"/>
      <w:marBottom w:val="0"/>
      <w:divBdr>
        <w:top w:val="none" w:sz="0" w:space="0" w:color="auto"/>
        <w:left w:val="none" w:sz="0" w:space="0" w:color="auto"/>
        <w:bottom w:val="none" w:sz="0" w:space="0" w:color="auto"/>
        <w:right w:val="none" w:sz="0" w:space="0" w:color="auto"/>
      </w:divBdr>
    </w:div>
    <w:div w:id="1245603020">
      <w:bodyDiv w:val="1"/>
      <w:marLeft w:val="0"/>
      <w:marRight w:val="0"/>
      <w:marTop w:val="0"/>
      <w:marBottom w:val="0"/>
      <w:divBdr>
        <w:top w:val="none" w:sz="0" w:space="0" w:color="auto"/>
        <w:left w:val="none" w:sz="0" w:space="0" w:color="auto"/>
        <w:bottom w:val="none" w:sz="0" w:space="0" w:color="auto"/>
        <w:right w:val="none" w:sz="0" w:space="0" w:color="auto"/>
      </w:divBdr>
    </w:div>
    <w:div w:id="1300114904">
      <w:bodyDiv w:val="1"/>
      <w:marLeft w:val="0"/>
      <w:marRight w:val="0"/>
      <w:marTop w:val="0"/>
      <w:marBottom w:val="0"/>
      <w:divBdr>
        <w:top w:val="none" w:sz="0" w:space="0" w:color="auto"/>
        <w:left w:val="none" w:sz="0" w:space="0" w:color="auto"/>
        <w:bottom w:val="none" w:sz="0" w:space="0" w:color="auto"/>
        <w:right w:val="none" w:sz="0" w:space="0" w:color="auto"/>
      </w:divBdr>
    </w:div>
    <w:div w:id="1307052784">
      <w:bodyDiv w:val="1"/>
      <w:marLeft w:val="0"/>
      <w:marRight w:val="0"/>
      <w:marTop w:val="0"/>
      <w:marBottom w:val="0"/>
      <w:divBdr>
        <w:top w:val="none" w:sz="0" w:space="0" w:color="auto"/>
        <w:left w:val="none" w:sz="0" w:space="0" w:color="auto"/>
        <w:bottom w:val="none" w:sz="0" w:space="0" w:color="auto"/>
        <w:right w:val="none" w:sz="0" w:space="0" w:color="auto"/>
      </w:divBdr>
    </w:div>
    <w:div w:id="1308053638">
      <w:bodyDiv w:val="1"/>
      <w:marLeft w:val="0"/>
      <w:marRight w:val="0"/>
      <w:marTop w:val="0"/>
      <w:marBottom w:val="0"/>
      <w:divBdr>
        <w:top w:val="none" w:sz="0" w:space="0" w:color="auto"/>
        <w:left w:val="none" w:sz="0" w:space="0" w:color="auto"/>
        <w:bottom w:val="none" w:sz="0" w:space="0" w:color="auto"/>
        <w:right w:val="none" w:sz="0" w:space="0" w:color="auto"/>
      </w:divBdr>
      <w:divsChild>
        <w:div w:id="10418553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26669233">
      <w:bodyDiv w:val="1"/>
      <w:marLeft w:val="0"/>
      <w:marRight w:val="0"/>
      <w:marTop w:val="0"/>
      <w:marBottom w:val="0"/>
      <w:divBdr>
        <w:top w:val="none" w:sz="0" w:space="0" w:color="auto"/>
        <w:left w:val="none" w:sz="0" w:space="0" w:color="auto"/>
        <w:bottom w:val="none" w:sz="0" w:space="0" w:color="auto"/>
        <w:right w:val="none" w:sz="0" w:space="0" w:color="auto"/>
      </w:divBdr>
    </w:div>
    <w:div w:id="1359548164">
      <w:bodyDiv w:val="1"/>
      <w:marLeft w:val="0"/>
      <w:marRight w:val="0"/>
      <w:marTop w:val="0"/>
      <w:marBottom w:val="0"/>
      <w:divBdr>
        <w:top w:val="none" w:sz="0" w:space="0" w:color="auto"/>
        <w:left w:val="none" w:sz="0" w:space="0" w:color="auto"/>
        <w:bottom w:val="none" w:sz="0" w:space="0" w:color="auto"/>
        <w:right w:val="none" w:sz="0" w:space="0" w:color="auto"/>
      </w:divBdr>
    </w:div>
    <w:div w:id="1367756919">
      <w:bodyDiv w:val="1"/>
      <w:marLeft w:val="0"/>
      <w:marRight w:val="0"/>
      <w:marTop w:val="0"/>
      <w:marBottom w:val="0"/>
      <w:divBdr>
        <w:top w:val="none" w:sz="0" w:space="0" w:color="auto"/>
        <w:left w:val="none" w:sz="0" w:space="0" w:color="auto"/>
        <w:bottom w:val="none" w:sz="0" w:space="0" w:color="auto"/>
        <w:right w:val="none" w:sz="0" w:space="0" w:color="auto"/>
      </w:divBdr>
    </w:div>
    <w:div w:id="1390498898">
      <w:bodyDiv w:val="1"/>
      <w:marLeft w:val="0"/>
      <w:marRight w:val="0"/>
      <w:marTop w:val="0"/>
      <w:marBottom w:val="0"/>
      <w:divBdr>
        <w:top w:val="none" w:sz="0" w:space="0" w:color="auto"/>
        <w:left w:val="none" w:sz="0" w:space="0" w:color="auto"/>
        <w:bottom w:val="none" w:sz="0" w:space="0" w:color="auto"/>
        <w:right w:val="none" w:sz="0" w:space="0" w:color="auto"/>
      </w:divBdr>
    </w:div>
    <w:div w:id="1392845099">
      <w:bodyDiv w:val="1"/>
      <w:marLeft w:val="0"/>
      <w:marRight w:val="0"/>
      <w:marTop w:val="0"/>
      <w:marBottom w:val="0"/>
      <w:divBdr>
        <w:top w:val="none" w:sz="0" w:space="0" w:color="auto"/>
        <w:left w:val="none" w:sz="0" w:space="0" w:color="auto"/>
        <w:bottom w:val="none" w:sz="0" w:space="0" w:color="auto"/>
        <w:right w:val="none" w:sz="0" w:space="0" w:color="auto"/>
      </w:divBdr>
    </w:div>
    <w:div w:id="1395930215">
      <w:bodyDiv w:val="1"/>
      <w:marLeft w:val="0"/>
      <w:marRight w:val="0"/>
      <w:marTop w:val="0"/>
      <w:marBottom w:val="0"/>
      <w:divBdr>
        <w:top w:val="none" w:sz="0" w:space="0" w:color="auto"/>
        <w:left w:val="none" w:sz="0" w:space="0" w:color="auto"/>
        <w:bottom w:val="none" w:sz="0" w:space="0" w:color="auto"/>
        <w:right w:val="none" w:sz="0" w:space="0" w:color="auto"/>
      </w:divBdr>
    </w:div>
    <w:div w:id="1428235918">
      <w:bodyDiv w:val="1"/>
      <w:marLeft w:val="0"/>
      <w:marRight w:val="0"/>
      <w:marTop w:val="0"/>
      <w:marBottom w:val="0"/>
      <w:divBdr>
        <w:top w:val="none" w:sz="0" w:space="0" w:color="auto"/>
        <w:left w:val="none" w:sz="0" w:space="0" w:color="auto"/>
        <w:bottom w:val="none" w:sz="0" w:space="0" w:color="auto"/>
        <w:right w:val="none" w:sz="0" w:space="0" w:color="auto"/>
      </w:divBdr>
    </w:div>
    <w:div w:id="1485777725">
      <w:bodyDiv w:val="1"/>
      <w:marLeft w:val="0"/>
      <w:marRight w:val="0"/>
      <w:marTop w:val="0"/>
      <w:marBottom w:val="0"/>
      <w:divBdr>
        <w:top w:val="none" w:sz="0" w:space="0" w:color="auto"/>
        <w:left w:val="none" w:sz="0" w:space="0" w:color="auto"/>
        <w:bottom w:val="none" w:sz="0" w:space="0" w:color="auto"/>
        <w:right w:val="none" w:sz="0" w:space="0" w:color="auto"/>
      </w:divBdr>
    </w:div>
    <w:div w:id="1527792850">
      <w:bodyDiv w:val="1"/>
      <w:marLeft w:val="0"/>
      <w:marRight w:val="0"/>
      <w:marTop w:val="0"/>
      <w:marBottom w:val="0"/>
      <w:divBdr>
        <w:top w:val="none" w:sz="0" w:space="0" w:color="auto"/>
        <w:left w:val="none" w:sz="0" w:space="0" w:color="auto"/>
        <w:bottom w:val="none" w:sz="0" w:space="0" w:color="auto"/>
        <w:right w:val="none" w:sz="0" w:space="0" w:color="auto"/>
      </w:divBdr>
    </w:div>
    <w:div w:id="1614512056">
      <w:bodyDiv w:val="1"/>
      <w:marLeft w:val="0"/>
      <w:marRight w:val="0"/>
      <w:marTop w:val="0"/>
      <w:marBottom w:val="0"/>
      <w:divBdr>
        <w:top w:val="none" w:sz="0" w:space="0" w:color="auto"/>
        <w:left w:val="none" w:sz="0" w:space="0" w:color="auto"/>
        <w:bottom w:val="none" w:sz="0" w:space="0" w:color="auto"/>
        <w:right w:val="none" w:sz="0" w:space="0" w:color="auto"/>
      </w:divBdr>
    </w:div>
    <w:div w:id="1655404686">
      <w:bodyDiv w:val="1"/>
      <w:marLeft w:val="0"/>
      <w:marRight w:val="0"/>
      <w:marTop w:val="0"/>
      <w:marBottom w:val="0"/>
      <w:divBdr>
        <w:top w:val="none" w:sz="0" w:space="0" w:color="auto"/>
        <w:left w:val="none" w:sz="0" w:space="0" w:color="auto"/>
        <w:bottom w:val="none" w:sz="0" w:space="0" w:color="auto"/>
        <w:right w:val="none" w:sz="0" w:space="0" w:color="auto"/>
      </w:divBdr>
    </w:div>
    <w:div w:id="1663389859">
      <w:bodyDiv w:val="1"/>
      <w:marLeft w:val="0"/>
      <w:marRight w:val="0"/>
      <w:marTop w:val="0"/>
      <w:marBottom w:val="0"/>
      <w:divBdr>
        <w:top w:val="none" w:sz="0" w:space="0" w:color="auto"/>
        <w:left w:val="none" w:sz="0" w:space="0" w:color="auto"/>
        <w:bottom w:val="none" w:sz="0" w:space="0" w:color="auto"/>
        <w:right w:val="none" w:sz="0" w:space="0" w:color="auto"/>
      </w:divBdr>
    </w:div>
    <w:div w:id="1693343180">
      <w:bodyDiv w:val="1"/>
      <w:marLeft w:val="0"/>
      <w:marRight w:val="0"/>
      <w:marTop w:val="0"/>
      <w:marBottom w:val="0"/>
      <w:divBdr>
        <w:top w:val="none" w:sz="0" w:space="0" w:color="auto"/>
        <w:left w:val="none" w:sz="0" w:space="0" w:color="auto"/>
        <w:bottom w:val="none" w:sz="0" w:space="0" w:color="auto"/>
        <w:right w:val="none" w:sz="0" w:space="0" w:color="auto"/>
      </w:divBdr>
    </w:div>
    <w:div w:id="1721710466">
      <w:bodyDiv w:val="1"/>
      <w:marLeft w:val="0"/>
      <w:marRight w:val="0"/>
      <w:marTop w:val="0"/>
      <w:marBottom w:val="0"/>
      <w:divBdr>
        <w:top w:val="none" w:sz="0" w:space="0" w:color="auto"/>
        <w:left w:val="none" w:sz="0" w:space="0" w:color="auto"/>
        <w:bottom w:val="none" w:sz="0" w:space="0" w:color="auto"/>
        <w:right w:val="none" w:sz="0" w:space="0" w:color="auto"/>
      </w:divBdr>
    </w:div>
    <w:div w:id="1726760098">
      <w:bodyDiv w:val="1"/>
      <w:marLeft w:val="0"/>
      <w:marRight w:val="0"/>
      <w:marTop w:val="0"/>
      <w:marBottom w:val="0"/>
      <w:divBdr>
        <w:top w:val="none" w:sz="0" w:space="0" w:color="auto"/>
        <w:left w:val="none" w:sz="0" w:space="0" w:color="auto"/>
        <w:bottom w:val="none" w:sz="0" w:space="0" w:color="auto"/>
        <w:right w:val="none" w:sz="0" w:space="0" w:color="auto"/>
      </w:divBdr>
    </w:div>
    <w:div w:id="1731879092">
      <w:bodyDiv w:val="1"/>
      <w:marLeft w:val="0"/>
      <w:marRight w:val="0"/>
      <w:marTop w:val="0"/>
      <w:marBottom w:val="0"/>
      <w:divBdr>
        <w:top w:val="none" w:sz="0" w:space="0" w:color="auto"/>
        <w:left w:val="none" w:sz="0" w:space="0" w:color="auto"/>
        <w:bottom w:val="none" w:sz="0" w:space="0" w:color="auto"/>
        <w:right w:val="none" w:sz="0" w:space="0" w:color="auto"/>
      </w:divBdr>
    </w:div>
    <w:div w:id="1768428102">
      <w:bodyDiv w:val="1"/>
      <w:marLeft w:val="0"/>
      <w:marRight w:val="0"/>
      <w:marTop w:val="0"/>
      <w:marBottom w:val="0"/>
      <w:divBdr>
        <w:top w:val="none" w:sz="0" w:space="0" w:color="auto"/>
        <w:left w:val="none" w:sz="0" w:space="0" w:color="auto"/>
        <w:bottom w:val="none" w:sz="0" w:space="0" w:color="auto"/>
        <w:right w:val="none" w:sz="0" w:space="0" w:color="auto"/>
      </w:divBdr>
    </w:div>
    <w:div w:id="1781561365">
      <w:bodyDiv w:val="1"/>
      <w:marLeft w:val="0"/>
      <w:marRight w:val="0"/>
      <w:marTop w:val="0"/>
      <w:marBottom w:val="0"/>
      <w:divBdr>
        <w:top w:val="none" w:sz="0" w:space="0" w:color="auto"/>
        <w:left w:val="none" w:sz="0" w:space="0" w:color="auto"/>
        <w:bottom w:val="none" w:sz="0" w:space="0" w:color="auto"/>
        <w:right w:val="none" w:sz="0" w:space="0" w:color="auto"/>
      </w:divBdr>
    </w:div>
    <w:div w:id="1792935447">
      <w:bodyDiv w:val="1"/>
      <w:marLeft w:val="0"/>
      <w:marRight w:val="0"/>
      <w:marTop w:val="0"/>
      <w:marBottom w:val="0"/>
      <w:divBdr>
        <w:top w:val="none" w:sz="0" w:space="0" w:color="auto"/>
        <w:left w:val="none" w:sz="0" w:space="0" w:color="auto"/>
        <w:bottom w:val="none" w:sz="0" w:space="0" w:color="auto"/>
        <w:right w:val="none" w:sz="0" w:space="0" w:color="auto"/>
      </w:divBdr>
    </w:div>
    <w:div w:id="1831288257">
      <w:bodyDiv w:val="1"/>
      <w:marLeft w:val="0"/>
      <w:marRight w:val="0"/>
      <w:marTop w:val="0"/>
      <w:marBottom w:val="0"/>
      <w:divBdr>
        <w:top w:val="none" w:sz="0" w:space="0" w:color="auto"/>
        <w:left w:val="none" w:sz="0" w:space="0" w:color="auto"/>
        <w:bottom w:val="none" w:sz="0" w:space="0" w:color="auto"/>
        <w:right w:val="none" w:sz="0" w:space="0" w:color="auto"/>
      </w:divBdr>
    </w:div>
    <w:div w:id="1857621201">
      <w:bodyDiv w:val="1"/>
      <w:marLeft w:val="0"/>
      <w:marRight w:val="0"/>
      <w:marTop w:val="0"/>
      <w:marBottom w:val="0"/>
      <w:divBdr>
        <w:top w:val="none" w:sz="0" w:space="0" w:color="auto"/>
        <w:left w:val="none" w:sz="0" w:space="0" w:color="auto"/>
        <w:bottom w:val="none" w:sz="0" w:space="0" w:color="auto"/>
        <w:right w:val="none" w:sz="0" w:space="0" w:color="auto"/>
      </w:divBdr>
    </w:div>
    <w:div w:id="1878395065">
      <w:bodyDiv w:val="1"/>
      <w:marLeft w:val="0"/>
      <w:marRight w:val="0"/>
      <w:marTop w:val="0"/>
      <w:marBottom w:val="0"/>
      <w:divBdr>
        <w:top w:val="none" w:sz="0" w:space="0" w:color="auto"/>
        <w:left w:val="none" w:sz="0" w:space="0" w:color="auto"/>
        <w:bottom w:val="none" w:sz="0" w:space="0" w:color="auto"/>
        <w:right w:val="none" w:sz="0" w:space="0" w:color="auto"/>
      </w:divBdr>
      <w:divsChild>
        <w:div w:id="5353146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83057998">
      <w:bodyDiv w:val="1"/>
      <w:marLeft w:val="0"/>
      <w:marRight w:val="0"/>
      <w:marTop w:val="0"/>
      <w:marBottom w:val="0"/>
      <w:divBdr>
        <w:top w:val="none" w:sz="0" w:space="0" w:color="auto"/>
        <w:left w:val="none" w:sz="0" w:space="0" w:color="auto"/>
        <w:bottom w:val="none" w:sz="0" w:space="0" w:color="auto"/>
        <w:right w:val="none" w:sz="0" w:space="0" w:color="auto"/>
      </w:divBdr>
    </w:div>
    <w:div w:id="1971091248">
      <w:bodyDiv w:val="1"/>
      <w:marLeft w:val="0"/>
      <w:marRight w:val="0"/>
      <w:marTop w:val="0"/>
      <w:marBottom w:val="0"/>
      <w:divBdr>
        <w:top w:val="none" w:sz="0" w:space="0" w:color="auto"/>
        <w:left w:val="none" w:sz="0" w:space="0" w:color="auto"/>
        <w:bottom w:val="none" w:sz="0" w:space="0" w:color="auto"/>
        <w:right w:val="none" w:sz="0" w:space="0" w:color="auto"/>
      </w:divBdr>
    </w:div>
    <w:div w:id="1975988169">
      <w:bodyDiv w:val="1"/>
      <w:marLeft w:val="0"/>
      <w:marRight w:val="0"/>
      <w:marTop w:val="0"/>
      <w:marBottom w:val="0"/>
      <w:divBdr>
        <w:top w:val="none" w:sz="0" w:space="0" w:color="auto"/>
        <w:left w:val="none" w:sz="0" w:space="0" w:color="auto"/>
        <w:bottom w:val="none" w:sz="0" w:space="0" w:color="auto"/>
        <w:right w:val="none" w:sz="0" w:space="0" w:color="auto"/>
      </w:divBdr>
    </w:div>
    <w:div w:id="1998338709">
      <w:bodyDiv w:val="1"/>
      <w:marLeft w:val="0"/>
      <w:marRight w:val="0"/>
      <w:marTop w:val="0"/>
      <w:marBottom w:val="0"/>
      <w:divBdr>
        <w:top w:val="none" w:sz="0" w:space="0" w:color="auto"/>
        <w:left w:val="none" w:sz="0" w:space="0" w:color="auto"/>
        <w:bottom w:val="none" w:sz="0" w:space="0" w:color="auto"/>
        <w:right w:val="none" w:sz="0" w:space="0" w:color="auto"/>
      </w:divBdr>
    </w:div>
    <w:div w:id="2002387245">
      <w:bodyDiv w:val="1"/>
      <w:marLeft w:val="0"/>
      <w:marRight w:val="0"/>
      <w:marTop w:val="0"/>
      <w:marBottom w:val="0"/>
      <w:divBdr>
        <w:top w:val="none" w:sz="0" w:space="0" w:color="auto"/>
        <w:left w:val="none" w:sz="0" w:space="0" w:color="auto"/>
        <w:bottom w:val="none" w:sz="0" w:space="0" w:color="auto"/>
        <w:right w:val="none" w:sz="0" w:space="0" w:color="auto"/>
      </w:divBdr>
    </w:div>
    <w:div w:id="2006394039">
      <w:bodyDiv w:val="1"/>
      <w:marLeft w:val="0"/>
      <w:marRight w:val="0"/>
      <w:marTop w:val="0"/>
      <w:marBottom w:val="0"/>
      <w:divBdr>
        <w:top w:val="none" w:sz="0" w:space="0" w:color="auto"/>
        <w:left w:val="none" w:sz="0" w:space="0" w:color="auto"/>
        <w:bottom w:val="none" w:sz="0" w:space="0" w:color="auto"/>
        <w:right w:val="none" w:sz="0" w:space="0" w:color="auto"/>
      </w:divBdr>
    </w:div>
    <w:div w:id="2014216034">
      <w:bodyDiv w:val="1"/>
      <w:marLeft w:val="0"/>
      <w:marRight w:val="0"/>
      <w:marTop w:val="0"/>
      <w:marBottom w:val="0"/>
      <w:divBdr>
        <w:top w:val="none" w:sz="0" w:space="0" w:color="auto"/>
        <w:left w:val="none" w:sz="0" w:space="0" w:color="auto"/>
        <w:bottom w:val="none" w:sz="0" w:space="0" w:color="auto"/>
        <w:right w:val="none" w:sz="0" w:space="0" w:color="auto"/>
      </w:divBdr>
    </w:div>
    <w:div w:id="2024549088">
      <w:bodyDiv w:val="1"/>
      <w:marLeft w:val="0"/>
      <w:marRight w:val="0"/>
      <w:marTop w:val="0"/>
      <w:marBottom w:val="0"/>
      <w:divBdr>
        <w:top w:val="none" w:sz="0" w:space="0" w:color="auto"/>
        <w:left w:val="none" w:sz="0" w:space="0" w:color="auto"/>
        <w:bottom w:val="none" w:sz="0" w:space="0" w:color="auto"/>
        <w:right w:val="none" w:sz="0" w:space="0" w:color="auto"/>
      </w:divBdr>
    </w:div>
    <w:div w:id="2044819313">
      <w:bodyDiv w:val="1"/>
      <w:marLeft w:val="0"/>
      <w:marRight w:val="0"/>
      <w:marTop w:val="0"/>
      <w:marBottom w:val="0"/>
      <w:divBdr>
        <w:top w:val="none" w:sz="0" w:space="0" w:color="auto"/>
        <w:left w:val="none" w:sz="0" w:space="0" w:color="auto"/>
        <w:bottom w:val="none" w:sz="0" w:space="0" w:color="auto"/>
        <w:right w:val="none" w:sz="0" w:space="0" w:color="auto"/>
      </w:divBdr>
    </w:div>
    <w:div w:id="2052025214">
      <w:bodyDiv w:val="1"/>
      <w:marLeft w:val="0"/>
      <w:marRight w:val="0"/>
      <w:marTop w:val="0"/>
      <w:marBottom w:val="0"/>
      <w:divBdr>
        <w:top w:val="none" w:sz="0" w:space="0" w:color="auto"/>
        <w:left w:val="none" w:sz="0" w:space="0" w:color="auto"/>
        <w:bottom w:val="none" w:sz="0" w:space="0" w:color="auto"/>
        <w:right w:val="none" w:sz="0" w:space="0" w:color="auto"/>
      </w:divBdr>
    </w:div>
    <w:div w:id="2054501108">
      <w:bodyDiv w:val="1"/>
      <w:marLeft w:val="0"/>
      <w:marRight w:val="0"/>
      <w:marTop w:val="0"/>
      <w:marBottom w:val="0"/>
      <w:divBdr>
        <w:top w:val="none" w:sz="0" w:space="0" w:color="auto"/>
        <w:left w:val="none" w:sz="0" w:space="0" w:color="auto"/>
        <w:bottom w:val="none" w:sz="0" w:space="0" w:color="auto"/>
        <w:right w:val="none" w:sz="0" w:space="0" w:color="auto"/>
      </w:divBdr>
    </w:div>
    <w:div w:id="2071031846">
      <w:bodyDiv w:val="1"/>
      <w:marLeft w:val="0"/>
      <w:marRight w:val="0"/>
      <w:marTop w:val="0"/>
      <w:marBottom w:val="0"/>
      <w:divBdr>
        <w:top w:val="none" w:sz="0" w:space="0" w:color="auto"/>
        <w:left w:val="none" w:sz="0" w:space="0" w:color="auto"/>
        <w:bottom w:val="none" w:sz="0" w:space="0" w:color="auto"/>
        <w:right w:val="none" w:sz="0" w:space="0" w:color="auto"/>
      </w:divBdr>
    </w:div>
    <w:div w:id="2078087881">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 w:id="21159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5480</Words>
  <Characters>31239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3</cp:revision>
  <dcterms:created xsi:type="dcterms:W3CDTF">2020-07-01T10:54:00Z</dcterms:created>
  <dcterms:modified xsi:type="dcterms:W3CDTF">2020-07-01T15:34:00Z</dcterms:modified>
</cp:coreProperties>
</file>