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34CB1" w14:textId="31CDCBFC" w:rsidR="006F5A25" w:rsidRPr="00861364" w:rsidRDefault="00861364" w:rsidP="00861364">
      <w:pPr>
        <w:jc w:val="center"/>
        <w:rPr>
          <w:b/>
          <w:bCs/>
          <w:sz w:val="28"/>
          <w:szCs w:val="28"/>
        </w:rPr>
      </w:pPr>
      <w:bookmarkStart w:id="0" w:name="_Hlk44435719"/>
      <w:r w:rsidRPr="00861364">
        <w:rPr>
          <w:b/>
          <w:bCs/>
          <w:sz w:val="28"/>
          <w:szCs w:val="28"/>
        </w:rPr>
        <w:t>CAIIB Elective – Retail Banking</w:t>
      </w:r>
    </w:p>
    <w:p w14:paraId="79E42831" w14:textId="5620C4D3" w:rsidR="00861364" w:rsidRPr="00037042" w:rsidRDefault="00861364" w:rsidP="00861364">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RBI</w:t>
      </w:r>
      <w:r w:rsidR="00AB3BB5">
        <w:rPr>
          <w:rFonts w:cstheme="minorHAnsi"/>
          <w:b/>
          <w:bCs/>
          <w:sz w:val="28"/>
          <w:szCs w:val="28"/>
        </w:rPr>
        <w:t xml:space="preserve"> </w:t>
      </w:r>
      <w:r w:rsidRPr="00037042">
        <w:rPr>
          <w:rFonts w:cstheme="minorHAnsi"/>
          <w:b/>
          <w:bCs/>
          <w:sz w:val="28"/>
          <w:szCs w:val="28"/>
        </w:rPr>
        <w:t>Notifications during the period 1st January 2020 to 30th June 2020</w:t>
      </w:r>
    </w:p>
    <w:p w14:paraId="40E6CDDF" w14:textId="77777777" w:rsidR="00861364" w:rsidRDefault="00861364" w:rsidP="00861364">
      <w:pPr>
        <w:spacing w:after="0" w:line="240" w:lineRule="auto"/>
        <w:jc w:val="both"/>
        <w:rPr>
          <w:rFonts w:ascii="Times New Roman" w:hAnsi="Times New Roman" w:cs="Times New Roman"/>
          <w:b/>
          <w:bCs/>
          <w:sz w:val="24"/>
          <w:szCs w:val="24"/>
        </w:rPr>
      </w:pPr>
    </w:p>
    <w:p w14:paraId="7174B767" w14:textId="77777777" w:rsidR="00861364" w:rsidRPr="00C902C8" w:rsidRDefault="00861364" w:rsidP="00861364">
      <w:pPr>
        <w:spacing w:after="0" w:line="240" w:lineRule="auto"/>
        <w:jc w:val="both"/>
        <w:rPr>
          <w:rFonts w:ascii="Times New Roman" w:hAnsi="Times New Roman" w:cs="Times New Roman"/>
          <w:sz w:val="24"/>
          <w:szCs w:val="24"/>
        </w:rPr>
      </w:pPr>
    </w:p>
    <w:p w14:paraId="25ACF0FE"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External Benchmark Based Lending – Medium Enterprises</w:t>
      </w:r>
    </w:p>
    <w:p w14:paraId="76A5FC70" w14:textId="77777777" w:rsidR="00861364" w:rsidRPr="00C902C8" w:rsidRDefault="00861364" w:rsidP="00861364">
      <w:pPr>
        <w:spacing w:after="0" w:line="240" w:lineRule="auto"/>
        <w:jc w:val="both"/>
        <w:rPr>
          <w:rFonts w:ascii="Times New Roman" w:hAnsi="Times New Roman" w:cs="Times New Roman"/>
          <w:b/>
          <w:bCs/>
          <w:sz w:val="24"/>
          <w:szCs w:val="24"/>
        </w:rPr>
      </w:pPr>
    </w:p>
    <w:p w14:paraId="58D24F6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RBI/2019-20/167 DOR.DIR.BC.No.39/13.03.00/2019-20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26, 2020</w:t>
      </w:r>
    </w:p>
    <w:p w14:paraId="173DAA18" w14:textId="77777777" w:rsidR="00861364" w:rsidRPr="00C902C8" w:rsidRDefault="00861364" w:rsidP="00861364">
      <w:pPr>
        <w:spacing w:after="0" w:line="240" w:lineRule="auto"/>
        <w:jc w:val="both"/>
        <w:rPr>
          <w:rFonts w:ascii="Times New Roman" w:hAnsi="Times New Roman" w:cs="Times New Roman"/>
          <w:sz w:val="24"/>
          <w:szCs w:val="24"/>
        </w:rPr>
      </w:pPr>
    </w:p>
    <w:p w14:paraId="33B3159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RRBs)/All Small Finance Banks/All Local Area Banks</w:t>
      </w:r>
    </w:p>
    <w:p w14:paraId="7850F908" w14:textId="77777777" w:rsidR="00861364" w:rsidRPr="00C902C8" w:rsidRDefault="00861364" w:rsidP="00861364">
      <w:pPr>
        <w:spacing w:after="0" w:line="240" w:lineRule="auto"/>
        <w:jc w:val="both"/>
        <w:rPr>
          <w:rFonts w:ascii="Times New Roman" w:hAnsi="Times New Roman" w:cs="Times New Roman"/>
          <w:sz w:val="24"/>
          <w:szCs w:val="24"/>
        </w:rPr>
      </w:pPr>
    </w:p>
    <w:p w14:paraId="556E8F4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DBR.DIR.BC.No.14/13.03.00/2019-20 dated September 04, 2019, in terms of which all new floating rate personal or retail loans (housing, auto, etc.) and floating rate loans to Micro and Small Enterprises (MSEs) extended by banks with effect from October 01, 2019 were linked to external benchmarks.</w:t>
      </w:r>
    </w:p>
    <w:p w14:paraId="0D7C96A7" w14:textId="77777777" w:rsidR="00861364" w:rsidRPr="00C902C8" w:rsidRDefault="00861364" w:rsidP="00861364">
      <w:pPr>
        <w:spacing w:after="0" w:line="240" w:lineRule="auto"/>
        <w:jc w:val="both"/>
        <w:rPr>
          <w:rFonts w:ascii="Times New Roman" w:hAnsi="Times New Roman" w:cs="Times New Roman"/>
          <w:sz w:val="24"/>
          <w:szCs w:val="24"/>
        </w:rPr>
      </w:pPr>
    </w:p>
    <w:p w14:paraId="7FAC4D0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Subsequent to the introduction of an external benchmark system, the monetary policy transmission has improved in respect of the sectors where new floating rate loans have been linked to the external benchmarks.</w:t>
      </w:r>
    </w:p>
    <w:p w14:paraId="1014B109" w14:textId="77777777" w:rsidR="00861364" w:rsidRPr="00C902C8" w:rsidRDefault="00861364" w:rsidP="00861364">
      <w:pPr>
        <w:spacing w:after="0" w:line="240" w:lineRule="auto"/>
        <w:jc w:val="both"/>
        <w:rPr>
          <w:rFonts w:ascii="Times New Roman" w:hAnsi="Times New Roman" w:cs="Times New Roman"/>
          <w:sz w:val="24"/>
          <w:szCs w:val="24"/>
        </w:rPr>
      </w:pPr>
    </w:p>
    <w:p w14:paraId="04D85A8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With a view to further strengthening monetary policy transmission, it has now been decided that all new floating rate loans to the Medium Enterprises extended by banks from April 01, 2020 shall be linked to the external benchmarks as indicated in the aforesaid circular. All the other instructions as contained in the aforesaid circular remain unchanged.</w:t>
      </w:r>
    </w:p>
    <w:p w14:paraId="7B1484C3" w14:textId="77777777" w:rsidR="00861364" w:rsidRPr="00C902C8" w:rsidRDefault="00861364" w:rsidP="00861364">
      <w:pPr>
        <w:spacing w:after="0" w:line="240" w:lineRule="auto"/>
        <w:jc w:val="both"/>
        <w:rPr>
          <w:rFonts w:ascii="Times New Roman" w:hAnsi="Times New Roman" w:cs="Times New Roman"/>
          <w:sz w:val="24"/>
          <w:szCs w:val="24"/>
        </w:rPr>
      </w:pPr>
    </w:p>
    <w:p w14:paraId="5D3629B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Accordingly, Master Direction - Reserve Bank of India (Interest Rate on Advances) Directions, 2016 dated March 03, 2016 has been modified and is available on RBI’s website.</w:t>
      </w:r>
    </w:p>
    <w:p w14:paraId="01EC5670"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62BCB631" w14:textId="77777777" w:rsidR="00861364" w:rsidRPr="00C902C8" w:rsidRDefault="00861364" w:rsidP="00861364">
      <w:pPr>
        <w:spacing w:after="0" w:line="240" w:lineRule="auto"/>
        <w:jc w:val="both"/>
        <w:rPr>
          <w:rFonts w:ascii="Times New Roman" w:hAnsi="Times New Roman" w:cs="Times New Roman"/>
          <w:sz w:val="24"/>
          <w:szCs w:val="24"/>
        </w:rPr>
      </w:pPr>
    </w:p>
    <w:p w14:paraId="7CA655C8"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1435E4A7"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2918C0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RBI/2019-20/138 DOR.AML.BC.No.27/14.01.001/2019-20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9, 2020</w:t>
      </w:r>
    </w:p>
    <w:p w14:paraId="54B676BC" w14:textId="77777777" w:rsidR="00861364" w:rsidRPr="00C902C8" w:rsidRDefault="00861364" w:rsidP="00861364">
      <w:pPr>
        <w:spacing w:after="0" w:line="240" w:lineRule="auto"/>
        <w:jc w:val="both"/>
        <w:rPr>
          <w:rFonts w:ascii="Times New Roman" w:hAnsi="Times New Roman" w:cs="Times New Roman"/>
          <w:sz w:val="24"/>
          <w:szCs w:val="24"/>
        </w:rPr>
      </w:pPr>
    </w:p>
    <w:p w14:paraId="76F5E42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523DE463" w14:textId="77777777" w:rsidR="00861364" w:rsidRPr="00C902C8" w:rsidRDefault="00861364" w:rsidP="00861364">
      <w:pPr>
        <w:spacing w:after="0" w:line="240" w:lineRule="auto"/>
        <w:jc w:val="both"/>
        <w:rPr>
          <w:rFonts w:ascii="Times New Roman" w:hAnsi="Times New Roman" w:cs="Times New Roman"/>
          <w:sz w:val="24"/>
          <w:szCs w:val="24"/>
        </w:rPr>
      </w:pPr>
    </w:p>
    <w:p w14:paraId="2B6F838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582(E) dated August 19, 2019 and Gazette Notification G.S.R. 840(E) dated November 13, 2019, has notified amendment to the Prevention of Money-laundering (Maintenance of Records) Rules, 2005. Further, with a view to leveraging the digital channels for Customer Identification Process (CIP) by Regulated Entities (REs), the Reserve Bank has decided to permit Video based Customer Identification Process (V-CIP) as a consent based alternate method of establishing the customer’s identity, for customer onboarding.</w:t>
      </w:r>
    </w:p>
    <w:p w14:paraId="7014C806" w14:textId="77777777" w:rsidR="00861364" w:rsidRPr="00C902C8" w:rsidRDefault="00861364" w:rsidP="00861364">
      <w:pPr>
        <w:spacing w:after="0" w:line="240" w:lineRule="auto"/>
        <w:jc w:val="both"/>
        <w:rPr>
          <w:rFonts w:ascii="Times New Roman" w:hAnsi="Times New Roman" w:cs="Times New Roman"/>
          <w:sz w:val="24"/>
          <w:szCs w:val="24"/>
        </w:rPr>
      </w:pPr>
    </w:p>
    <w:p w14:paraId="684A780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consequent changes carried out in the Master Direction on KYC dated February 25, 2016, with the aforementioned amendments to the PML Rules and V-CIP are as under:</w:t>
      </w:r>
    </w:p>
    <w:p w14:paraId="0BEC7DE4" w14:textId="422BABBE" w:rsidR="00861364" w:rsidRDefault="00861364" w:rsidP="00861364">
      <w:pPr>
        <w:spacing w:after="0" w:line="240" w:lineRule="auto"/>
        <w:jc w:val="both"/>
        <w:rPr>
          <w:rFonts w:ascii="Times New Roman" w:hAnsi="Times New Roman" w:cs="Times New Roman"/>
          <w:sz w:val="24"/>
          <w:szCs w:val="24"/>
        </w:rPr>
      </w:pPr>
    </w:p>
    <w:p w14:paraId="206870BE" w14:textId="77777777" w:rsidR="00AB3BB5" w:rsidRPr="00C902C8" w:rsidRDefault="00AB3BB5" w:rsidP="00861364">
      <w:pPr>
        <w:spacing w:after="0" w:line="240" w:lineRule="auto"/>
        <w:jc w:val="both"/>
        <w:rPr>
          <w:rFonts w:ascii="Times New Roman" w:hAnsi="Times New Roman" w:cs="Times New Roman"/>
          <w:sz w:val="24"/>
          <w:szCs w:val="24"/>
        </w:rPr>
      </w:pPr>
    </w:p>
    <w:p w14:paraId="0AA64E47"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A. Changes due to amendments to the PML Rules</w:t>
      </w:r>
    </w:p>
    <w:p w14:paraId="2915A0FB" w14:textId="77777777" w:rsidR="00861364" w:rsidRPr="00C902C8" w:rsidRDefault="00861364" w:rsidP="00861364">
      <w:pPr>
        <w:spacing w:after="0" w:line="240" w:lineRule="auto"/>
        <w:jc w:val="both"/>
        <w:rPr>
          <w:rFonts w:ascii="Times New Roman" w:hAnsi="Times New Roman" w:cs="Times New Roman"/>
          <w:sz w:val="24"/>
          <w:szCs w:val="24"/>
        </w:rPr>
      </w:pPr>
    </w:p>
    <w:p w14:paraId="3DCD96F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“Digital KYC” has been defined in Section 3 as capturing live photo of the customer and officially valid document or the proof of possession of Aadhaar, where offline verification cannot be carried out, along with the latitude and longitude of the location where such live photo is being taken by an authorised officer of the Reporting Entity (RE) as per the provisions contained in the Act. Steps to carry out the Digital KYC process have also been stipulated.</w:t>
      </w:r>
    </w:p>
    <w:p w14:paraId="1324B2FC" w14:textId="77777777" w:rsidR="00861364" w:rsidRPr="00C902C8" w:rsidRDefault="00861364" w:rsidP="00861364">
      <w:pPr>
        <w:spacing w:after="0" w:line="240" w:lineRule="auto"/>
        <w:jc w:val="both"/>
        <w:rPr>
          <w:rFonts w:ascii="Times New Roman" w:hAnsi="Times New Roman" w:cs="Times New Roman"/>
          <w:sz w:val="24"/>
          <w:szCs w:val="24"/>
        </w:rPr>
      </w:pPr>
    </w:p>
    <w:p w14:paraId="01F324B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“Equivalent e-document” has been defined in Section 3 as an electronic equivalent of a document, issued by the issuing authority of such document with its valid digital signature including documents issued to the digital locker account of the customer as per Rule 9 of the Information Technology (Preservation and Retention of Information by Intermediaries Providing Digital Locker Facilities) Rules, 2016.</w:t>
      </w:r>
    </w:p>
    <w:p w14:paraId="67D38E83" w14:textId="77777777" w:rsidR="00861364" w:rsidRPr="00C902C8" w:rsidRDefault="00861364" w:rsidP="00861364">
      <w:pPr>
        <w:spacing w:after="0" w:line="240" w:lineRule="auto"/>
        <w:jc w:val="both"/>
        <w:rPr>
          <w:rFonts w:ascii="Times New Roman" w:hAnsi="Times New Roman" w:cs="Times New Roman"/>
          <w:sz w:val="24"/>
          <w:szCs w:val="24"/>
        </w:rPr>
      </w:pPr>
    </w:p>
    <w:p w14:paraId="3A0F2D3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Section 16 has been amended and accordingly,</w:t>
      </w:r>
    </w:p>
    <w:p w14:paraId="734701A7" w14:textId="77777777" w:rsidR="00861364" w:rsidRPr="00C902C8" w:rsidRDefault="00861364" w:rsidP="00861364">
      <w:pPr>
        <w:spacing w:after="0" w:line="240" w:lineRule="auto"/>
        <w:jc w:val="both"/>
        <w:rPr>
          <w:rFonts w:ascii="Times New Roman" w:hAnsi="Times New Roman" w:cs="Times New Roman"/>
          <w:sz w:val="24"/>
          <w:szCs w:val="24"/>
        </w:rPr>
      </w:pPr>
    </w:p>
    <w:p w14:paraId="06175FFA"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customer, for the purpose of Customer Due Diligence CDD) process, shall submit:</w:t>
      </w:r>
    </w:p>
    <w:p w14:paraId="49C9BA7C" w14:textId="77777777" w:rsidR="00861364" w:rsidRPr="00C902C8" w:rsidRDefault="00861364" w:rsidP="00861364">
      <w:pPr>
        <w:spacing w:after="0" w:line="240" w:lineRule="auto"/>
        <w:jc w:val="both"/>
        <w:rPr>
          <w:rFonts w:ascii="Times New Roman" w:hAnsi="Times New Roman" w:cs="Times New Roman"/>
          <w:sz w:val="24"/>
          <w:szCs w:val="24"/>
        </w:rPr>
      </w:pPr>
    </w:p>
    <w:p w14:paraId="5B03F785" w14:textId="77777777" w:rsidR="00861364" w:rsidRPr="00C902C8" w:rsidRDefault="00861364" w:rsidP="00AF11B1">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Aadhaar number where he is desirous of receiving any benefit or subsidy under any scheme notified under section 7 of the Aadhaar (Targeted Delivery of Financial and Other subsidies, Benefits and Services) Act, 2016 (18 of 2016); or he decides to submit his Aadhaar number voluntarily to a banking company or any reporting entity notified under first proviso to sub-section (1) of section 11A of the PML Act; or</w:t>
      </w:r>
    </w:p>
    <w:p w14:paraId="423B864D" w14:textId="77777777" w:rsidR="00861364" w:rsidRPr="00C902C8" w:rsidRDefault="00861364" w:rsidP="00AF11B1">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 be carried out; or</w:t>
      </w:r>
    </w:p>
    <w:p w14:paraId="009C21C7" w14:textId="77777777" w:rsidR="00861364" w:rsidRPr="00C902C8" w:rsidRDefault="00861364" w:rsidP="00AF11B1">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cannot be carried out or</w:t>
      </w:r>
    </w:p>
    <w:p w14:paraId="00C86EB1" w14:textId="77777777" w:rsidR="00861364" w:rsidRPr="00C902C8" w:rsidRDefault="00861364" w:rsidP="00AF11B1">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Officially Valid Document (OVD) or the equivalent e-document thereof containing the details of his identity and address; and</w:t>
      </w:r>
    </w:p>
    <w:p w14:paraId="244B33E7" w14:textId="77777777" w:rsidR="00861364" w:rsidRPr="00C902C8" w:rsidRDefault="00861364" w:rsidP="00AF11B1">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Permanent Account Number or the equivalent e-document thereof or Form No. 60 as defined in Income-tax Rules, 1962; and</w:t>
      </w:r>
    </w:p>
    <w:p w14:paraId="7412DB59" w14:textId="77777777" w:rsidR="00861364" w:rsidRPr="00C902C8" w:rsidRDefault="00861364" w:rsidP="00AF11B1">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such other documents including in respect of the nature of business and financial status of the client, or the equivalent e-documents thereof as may be required by the RE.</w:t>
      </w:r>
    </w:p>
    <w:p w14:paraId="1275E041" w14:textId="77777777" w:rsidR="00861364" w:rsidRPr="00C902C8" w:rsidRDefault="00861364" w:rsidP="00861364">
      <w:pPr>
        <w:spacing w:after="0" w:line="240" w:lineRule="auto"/>
        <w:jc w:val="both"/>
        <w:rPr>
          <w:rFonts w:ascii="Times New Roman" w:hAnsi="Times New Roman" w:cs="Times New Roman"/>
          <w:sz w:val="24"/>
          <w:szCs w:val="24"/>
        </w:rPr>
      </w:pPr>
    </w:p>
    <w:p w14:paraId="4F28E3A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Provided that where the customer has submitted</w:t>
      </w:r>
    </w:p>
    <w:p w14:paraId="6EB310F4" w14:textId="77777777" w:rsidR="00861364" w:rsidRPr="00C902C8" w:rsidRDefault="00861364" w:rsidP="00861364">
      <w:pPr>
        <w:spacing w:after="0" w:line="240" w:lineRule="auto"/>
        <w:jc w:val="both"/>
        <w:rPr>
          <w:rFonts w:ascii="Times New Roman" w:hAnsi="Times New Roman" w:cs="Times New Roman"/>
          <w:sz w:val="24"/>
          <w:szCs w:val="24"/>
        </w:rPr>
      </w:pPr>
    </w:p>
    <w:p w14:paraId="669E47D1" w14:textId="77777777" w:rsidR="00861364" w:rsidRPr="00C902C8" w:rsidRDefault="00861364" w:rsidP="00AF11B1">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Aadhaar number under paragraph (c.I.i) above to a bank or to a RE notified under first proviso to sub-section (1) of section 11A of the PML Act, such bank or RE shall carry out authentication of the customer’s Aadhaar number using e-KYC authentication facility provided by the Unique Identification Authority of India.</w:t>
      </w:r>
    </w:p>
    <w:p w14:paraId="6135FB69" w14:textId="77777777" w:rsidR="00861364" w:rsidRPr="00C902C8" w:rsidRDefault="00861364" w:rsidP="00AF11B1">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under clause (c.I.ii) above where offline verification can be carried out, the RE shall carry out offline verification</w:t>
      </w:r>
    </w:p>
    <w:p w14:paraId="6EFAC6DB" w14:textId="77777777" w:rsidR="00861364" w:rsidRPr="00C902C8" w:rsidRDefault="00861364" w:rsidP="00AF11B1">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 equivalent e-document of any OVD, the RE shall verify the digital signature as per the provisions of the Information Technology Act, 2000 (21 of 2000) and any rules issues thereunder and take a live photo as specified under Annex I of the Master Direction.</w:t>
      </w:r>
    </w:p>
    <w:p w14:paraId="25ABA5FD" w14:textId="77777777" w:rsidR="00861364" w:rsidRPr="00C902C8" w:rsidRDefault="00861364" w:rsidP="00AF11B1">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number where offline verification cannot be carried out under clause (c.I.iii) above or any OVD under clause (c.I.iv), the RE shall carry out verification through digital KYC as specified under Annex I of the Master Direction.</w:t>
      </w:r>
    </w:p>
    <w:p w14:paraId="450B9A13" w14:textId="77777777" w:rsidR="00861364" w:rsidRPr="00C902C8" w:rsidRDefault="00861364" w:rsidP="00861364">
      <w:pPr>
        <w:spacing w:after="0" w:line="240" w:lineRule="auto"/>
        <w:jc w:val="both"/>
        <w:rPr>
          <w:rFonts w:ascii="Times New Roman" w:hAnsi="Times New Roman" w:cs="Times New Roman"/>
          <w:sz w:val="24"/>
          <w:szCs w:val="24"/>
        </w:rPr>
      </w:pPr>
    </w:p>
    <w:p w14:paraId="6922A97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Provided, for a period not beyond such date as may be notified by the Government for a class of REs, instead of carrying out digital KYC, the RE pertaining to such class may obtain a certified copy of the proof of possession of Aadhaar number or the OVD and a recent photograph where an equivalent e-document is not submitted.</w:t>
      </w:r>
    </w:p>
    <w:p w14:paraId="71CBF68C" w14:textId="77777777" w:rsidR="00861364" w:rsidRPr="00C902C8" w:rsidRDefault="00861364" w:rsidP="00861364">
      <w:pPr>
        <w:spacing w:after="0" w:line="240" w:lineRule="auto"/>
        <w:jc w:val="both"/>
        <w:rPr>
          <w:rFonts w:ascii="Times New Roman" w:hAnsi="Times New Roman" w:cs="Times New Roman"/>
          <w:sz w:val="24"/>
          <w:szCs w:val="24"/>
        </w:rPr>
      </w:pPr>
    </w:p>
    <w:p w14:paraId="38BE3B2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Equivalent e-document has also been permitted for accounts of non-individual customer.</w:t>
      </w:r>
    </w:p>
    <w:p w14:paraId="74F0A015" w14:textId="77777777" w:rsidR="00861364" w:rsidRPr="00C902C8" w:rsidRDefault="00861364" w:rsidP="00861364">
      <w:pPr>
        <w:spacing w:after="0" w:line="240" w:lineRule="auto"/>
        <w:jc w:val="both"/>
        <w:rPr>
          <w:rFonts w:ascii="Times New Roman" w:hAnsi="Times New Roman" w:cs="Times New Roman"/>
          <w:sz w:val="24"/>
          <w:szCs w:val="24"/>
        </w:rPr>
      </w:pPr>
    </w:p>
    <w:p w14:paraId="4E3A401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Where a customer has provided his Aadhaar number under paragraph (c.I.i) above for identification and wants to provide a current address, different from the address as per the identity information available in the Central Identities Data Repository, he may give a self-declaration to that effect to the Regulated Entity.</w:t>
      </w:r>
    </w:p>
    <w:p w14:paraId="2BB87829" w14:textId="77777777" w:rsidR="00861364" w:rsidRPr="00C902C8" w:rsidRDefault="00861364" w:rsidP="00861364">
      <w:pPr>
        <w:spacing w:after="0" w:line="240" w:lineRule="auto"/>
        <w:jc w:val="both"/>
        <w:rPr>
          <w:rFonts w:ascii="Times New Roman" w:hAnsi="Times New Roman" w:cs="Times New Roman"/>
          <w:sz w:val="24"/>
          <w:szCs w:val="24"/>
        </w:rPr>
      </w:pPr>
    </w:p>
    <w:p w14:paraId="5EE68845"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 Changes due to introduction of Video based Customer Identification Process (V-CIP)</w:t>
      </w:r>
    </w:p>
    <w:p w14:paraId="4D06B4EE" w14:textId="77777777" w:rsidR="00861364" w:rsidRPr="00C902C8" w:rsidRDefault="00861364" w:rsidP="00861364">
      <w:pPr>
        <w:spacing w:after="0" w:line="240" w:lineRule="auto"/>
        <w:jc w:val="both"/>
        <w:rPr>
          <w:rFonts w:ascii="Times New Roman" w:hAnsi="Times New Roman" w:cs="Times New Roman"/>
          <w:sz w:val="24"/>
          <w:szCs w:val="24"/>
        </w:rPr>
      </w:pPr>
    </w:p>
    <w:p w14:paraId="1557DD97" w14:textId="77777777" w:rsidR="00861364" w:rsidRPr="00C902C8" w:rsidRDefault="00861364" w:rsidP="00AF11B1">
      <w:pPr>
        <w:pStyle w:val="ListParagraph"/>
        <w:numPr>
          <w:ilvl w:val="1"/>
          <w:numId w:val="1"/>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Definition of V-CIP has been inserted in Section 3 of the Master Direction</w:t>
      </w:r>
    </w:p>
    <w:p w14:paraId="66DC9623" w14:textId="77777777" w:rsidR="00861364" w:rsidRPr="00C902C8" w:rsidRDefault="00861364" w:rsidP="00861364">
      <w:pPr>
        <w:spacing w:after="0" w:line="240" w:lineRule="auto"/>
        <w:jc w:val="both"/>
        <w:rPr>
          <w:rFonts w:ascii="Times New Roman" w:hAnsi="Times New Roman" w:cs="Times New Roman"/>
          <w:sz w:val="24"/>
          <w:szCs w:val="24"/>
        </w:rPr>
      </w:pPr>
    </w:p>
    <w:p w14:paraId="3778A3F8" w14:textId="77777777" w:rsidR="00861364" w:rsidRPr="00C902C8" w:rsidRDefault="00861364" w:rsidP="00AF11B1">
      <w:pPr>
        <w:pStyle w:val="ListParagraph"/>
        <w:numPr>
          <w:ilvl w:val="1"/>
          <w:numId w:val="1"/>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The process of V-CIP has been specified in Section 18 in terms of which, REs may undertake live V-CIP, to be carried out by an official of the RE, for establishment of an account based relationship with an individual customer, after obtaining his informed consent and shall adhere to the following stipulations:</w:t>
      </w:r>
    </w:p>
    <w:p w14:paraId="2A37201C" w14:textId="77777777" w:rsidR="00861364" w:rsidRPr="00C902C8" w:rsidRDefault="00861364" w:rsidP="00861364">
      <w:pPr>
        <w:spacing w:after="0" w:line="240" w:lineRule="auto"/>
        <w:jc w:val="both"/>
        <w:rPr>
          <w:rFonts w:ascii="Times New Roman" w:hAnsi="Times New Roman" w:cs="Times New Roman"/>
          <w:sz w:val="24"/>
          <w:szCs w:val="24"/>
        </w:rPr>
      </w:pPr>
    </w:p>
    <w:p w14:paraId="1FD7A2C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The official of the RE performing the V-CIP shall record video as well as capture photograph of the customer present for identification and obtain the identification information as below:</w:t>
      </w:r>
    </w:p>
    <w:p w14:paraId="2E8D30AC" w14:textId="77777777" w:rsidR="00861364" w:rsidRPr="00C902C8" w:rsidRDefault="00861364" w:rsidP="00861364">
      <w:pPr>
        <w:spacing w:after="0" w:line="240" w:lineRule="auto"/>
        <w:jc w:val="both"/>
        <w:rPr>
          <w:rFonts w:ascii="Times New Roman" w:hAnsi="Times New Roman" w:cs="Times New Roman"/>
          <w:sz w:val="24"/>
          <w:szCs w:val="24"/>
        </w:rPr>
      </w:pPr>
    </w:p>
    <w:p w14:paraId="7990F1AD" w14:textId="77777777" w:rsidR="00861364" w:rsidRPr="00C902C8" w:rsidRDefault="00861364" w:rsidP="00AF11B1">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can use either OTP based Aadhaar e-KYC authentication or Offline Verification of Aadhaar for identification. Further, services of Business Correspondents (BCs) may be used by banks for aiding the V-CIP.</w:t>
      </w:r>
    </w:p>
    <w:p w14:paraId="489466B8" w14:textId="77777777" w:rsidR="00861364" w:rsidRPr="00C902C8" w:rsidRDefault="00861364" w:rsidP="00861364">
      <w:pPr>
        <w:spacing w:after="0" w:line="240" w:lineRule="auto"/>
        <w:jc w:val="both"/>
        <w:rPr>
          <w:rFonts w:ascii="Times New Roman" w:hAnsi="Times New Roman" w:cs="Times New Roman"/>
          <w:sz w:val="24"/>
          <w:szCs w:val="24"/>
        </w:rPr>
      </w:pPr>
    </w:p>
    <w:p w14:paraId="003577D7" w14:textId="77777777" w:rsidR="00861364" w:rsidRPr="00C902C8" w:rsidRDefault="00861364" w:rsidP="00AF11B1">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 other than banks: can only carry out Offline Verification of Aadhaar for identification.</w:t>
      </w:r>
    </w:p>
    <w:p w14:paraId="1E43222A" w14:textId="77777777" w:rsidR="00861364" w:rsidRPr="00C902C8" w:rsidRDefault="00861364" w:rsidP="00861364">
      <w:pPr>
        <w:spacing w:after="0" w:line="240" w:lineRule="auto"/>
        <w:jc w:val="both"/>
        <w:rPr>
          <w:rFonts w:ascii="Times New Roman" w:hAnsi="Times New Roman" w:cs="Times New Roman"/>
          <w:sz w:val="24"/>
          <w:szCs w:val="24"/>
        </w:rPr>
      </w:pPr>
    </w:p>
    <w:p w14:paraId="10825B7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 shall capture a clear image of PAN card to be displayed by the customer during the process, except in cases where e-PAN is provided by the customer. The PAN details shall be verified from the database of the issuing authority.</w:t>
      </w:r>
    </w:p>
    <w:p w14:paraId="73FA7FB2" w14:textId="77777777" w:rsidR="00861364" w:rsidRPr="00C902C8" w:rsidRDefault="00861364" w:rsidP="00861364">
      <w:pPr>
        <w:spacing w:after="0" w:line="240" w:lineRule="auto"/>
        <w:jc w:val="both"/>
        <w:rPr>
          <w:rFonts w:ascii="Times New Roman" w:hAnsi="Times New Roman" w:cs="Times New Roman"/>
          <w:sz w:val="24"/>
          <w:szCs w:val="24"/>
        </w:rPr>
      </w:pPr>
    </w:p>
    <w:p w14:paraId="6C01CFB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Live location of the customer (Geotagging) shall be captured to ensure that customer is physically present in India</w:t>
      </w:r>
    </w:p>
    <w:p w14:paraId="1C8A89A8" w14:textId="77777777" w:rsidR="00861364" w:rsidRPr="00C902C8" w:rsidRDefault="00861364" w:rsidP="00861364">
      <w:pPr>
        <w:spacing w:after="0" w:line="240" w:lineRule="auto"/>
        <w:jc w:val="both"/>
        <w:rPr>
          <w:rFonts w:ascii="Times New Roman" w:hAnsi="Times New Roman" w:cs="Times New Roman"/>
          <w:sz w:val="24"/>
          <w:szCs w:val="24"/>
        </w:rPr>
      </w:pPr>
    </w:p>
    <w:p w14:paraId="09CFB45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The official of the RE shall ensure that photograph of the customer in the Aadhaar/PAN details matches with the customer undertaking the V-CIP and the identification details in Aadhaar/PAN shall match with the details provided by the customer.</w:t>
      </w:r>
    </w:p>
    <w:p w14:paraId="0046644C" w14:textId="77777777" w:rsidR="00861364" w:rsidRPr="00C902C8" w:rsidRDefault="00861364" w:rsidP="00861364">
      <w:pPr>
        <w:spacing w:after="0" w:line="240" w:lineRule="auto"/>
        <w:jc w:val="both"/>
        <w:rPr>
          <w:rFonts w:ascii="Times New Roman" w:hAnsi="Times New Roman" w:cs="Times New Roman"/>
          <w:sz w:val="24"/>
          <w:szCs w:val="24"/>
        </w:rPr>
      </w:pPr>
    </w:p>
    <w:p w14:paraId="2782604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The official of the RE shall ensure that the sequence and/or type of questions during video interactions are varied in order to establish that the interactions are real-time and not pre-recorded.</w:t>
      </w:r>
    </w:p>
    <w:p w14:paraId="4FB50F4A" w14:textId="77777777" w:rsidR="00861364" w:rsidRPr="00C902C8" w:rsidRDefault="00861364" w:rsidP="00861364">
      <w:pPr>
        <w:spacing w:after="0" w:line="240" w:lineRule="auto"/>
        <w:jc w:val="both"/>
        <w:rPr>
          <w:rFonts w:ascii="Times New Roman" w:hAnsi="Times New Roman" w:cs="Times New Roman"/>
          <w:sz w:val="24"/>
          <w:szCs w:val="24"/>
        </w:rPr>
      </w:pPr>
    </w:p>
    <w:p w14:paraId="70185D4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 In case of offline verification of Aadhaar using XML file or Aadhaar Secure QR Code, it shall be ensured that the XML file or QR code generation date is not older than 3 days from the date of carrying out V-CIP.</w:t>
      </w:r>
    </w:p>
    <w:p w14:paraId="71BF4D00" w14:textId="77777777" w:rsidR="00861364" w:rsidRPr="00C902C8" w:rsidRDefault="00861364" w:rsidP="00861364">
      <w:pPr>
        <w:spacing w:after="0" w:line="240" w:lineRule="auto"/>
        <w:jc w:val="both"/>
        <w:rPr>
          <w:rFonts w:ascii="Times New Roman" w:hAnsi="Times New Roman" w:cs="Times New Roman"/>
          <w:sz w:val="24"/>
          <w:szCs w:val="24"/>
        </w:rPr>
      </w:pPr>
    </w:p>
    <w:p w14:paraId="52F9DB8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vii. All accounts opened through V-CIP shall be made operational only after being subject to concurrent audit, to ensure the integrity of process.</w:t>
      </w:r>
    </w:p>
    <w:p w14:paraId="5667C4D9" w14:textId="77777777" w:rsidR="00861364" w:rsidRPr="00C902C8" w:rsidRDefault="00861364" w:rsidP="00861364">
      <w:pPr>
        <w:spacing w:after="0" w:line="240" w:lineRule="auto"/>
        <w:jc w:val="both"/>
        <w:rPr>
          <w:rFonts w:ascii="Times New Roman" w:hAnsi="Times New Roman" w:cs="Times New Roman"/>
          <w:sz w:val="24"/>
          <w:szCs w:val="24"/>
        </w:rPr>
      </w:pPr>
    </w:p>
    <w:p w14:paraId="65F7ADD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RE shall ensure that the process is a seamless, real-time, secured, end-to-end encrypted audiovisual interaction with the customer and the quality of the communication is adequate to allow identification of the customer beyond doubt. RE shall carry out the liveliness check in order to guard against spoofing and such other fraudulent manipulations.</w:t>
      </w:r>
    </w:p>
    <w:p w14:paraId="69D61335" w14:textId="77777777" w:rsidR="00861364" w:rsidRPr="00C902C8" w:rsidRDefault="00861364" w:rsidP="00861364">
      <w:pPr>
        <w:spacing w:after="0" w:line="240" w:lineRule="auto"/>
        <w:jc w:val="both"/>
        <w:rPr>
          <w:rFonts w:ascii="Times New Roman" w:hAnsi="Times New Roman" w:cs="Times New Roman"/>
          <w:sz w:val="24"/>
          <w:szCs w:val="24"/>
        </w:rPr>
      </w:pPr>
    </w:p>
    <w:p w14:paraId="54ABD83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ix. To ensure security, robustness and end to end encryption, the REs shall carry out software and security audit and validation of the V-CIP application before rolling it out.</w:t>
      </w:r>
    </w:p>
    <w:p w14:paraId="5F933290" w14:textId="77777777" w:rsidR="00861364" w:rsidRPr="00C902C8" w:rsidRDefault="00861364" w:rsidP="00861364">
      <w:pPr>
        <w:spacing w:after="0" w:line="240" w:lineRule="auto"/>
        <w:jc w:val="both"/>
        <w:rPr>
          <w:rFonts w:ascii="Times New Roman" w:hAnsi="Times New Roman" w:cs="Times New Roman"/>
          <w:sz w:val="24"/>
          <w:szCs w:val="24"/>
        </w:rPr>
      </w:pPr>
    </w:p>
    <w:p w14:paraId="2D07A41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 The audiovisual interaction shall be triggered from the domain of the RE itself, and not from third party service provider, if any. The V-CIP process shall be operated by officials specifically trained for this purpose. The activity log along with the credentials of the official performing the V-CIP shall be preserved.</w:t>
      </w:r>
    </w:p>
    <w:p w14:paraId="192DED48" w14:textId="77777777" w:rsidR="00861364" w:rsidRPr="00C902C8" w:rsidRDefault="00861364" w:rsidP="00861364">
      <w:pPr>
        <w:spacing w:after="0" w:line="240" w:lineRule="auto"/>
        <w:jc w:val="both"/>
        <w:rPr>
          <w:rFonts w:ascii="Times New Roman" w:hAnsi="Times New Roman" w:cs="Times New Roman"/>
          <w:sz w:val="24"/>
          <w:szCs w:val="24"/>
        </w:rPr>
      </w:pPr>
    </w:p>
    <w:p w14:paraId="11F4931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 REs shall ensure that the video recording is stored in a safe and secure manner and bears the date and time stamp.</w:t>
      </w:r>
    </w:p>
    <w:p w14:paraId="6EBC7C99" w14:textId="77777777" w:rsidR="00861364" w:rsidRPr="00C902C8" w:rsidRDefault="00861364" w:rsidP="00861364">
      <w:pPr>
        <w:spacing w:after="0" w:line="240" w:lineRule="auto"/>
        <w:jc w:val="both"/>
        <w:rPr>
          <w:rFonts w:ascii="Times New Roman" w:hAnsi="Times New Roman" w:cs="Times New Roman"/>
          <w:sz w:val="24"/>
          <w:szCs w:val="24"/>
        </w:rPr>
      </w:pPr>
    </w:p>
    <w:p w14:paraId="5004FB3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 REs are encouraged to take assistance of the latest available technology, including Artificial Intelligence (AI) and face matching technologies, to ensure the integrity of the process as well as the information furnished by the customer. However, the responsibility of customer identification shall rest with the RE.</w:t>
      </w:r>
    </w:p>
    <w:p w14:paraId="6A260362" w14:textId="77777777" w:rsidR="00861364" w:rsidRPr="00C902C8" w:rsidRDefault="00861364" w:rsidP="00861364">
      <w:pPr>
        <w:spacing w:after="0" w:line="240" w:lineRule="auto"/>
        <w:jc w:val="both"/>
        <w:rPr>
          <w:rFonts w:ascii="Times New Roman" w:hAnsi="Times New Roman" w:cs="Times New Roman"/>
          <w:sz w:val="24"/>
          <w:szCs w:val="24"/>
        </w:rPr>
      </w:pPr>
    </w:p>
    <w:p w14:paraId="4F5CAC5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xiii. RE shall ensure to redact or blackout the Aadhaar number in terms of Section 16.</w:t>
      </w:r>
    </w:p>
    <w:p w14:paraId="314CEC29" w14:textId="77777777" w:rsidR="00861364" w:rsidRPr="00C902C8" w:rsidRDefault="00861364" w:rsidP="00861364">
      <w:pPr>
        <w:spacing w:after="0" w:line="240" w:lineRule="auto"/>
        <w:jc w:val="both"/>
        <w:rPr>
          <w:rFonts w:ascii="Times New Roman" w:hAnsi="Times New Roman" w:cs="Times New Roman"/>
          <w:sz w:val="24"/>
          <w:szCs w:val="24"/>
        </w:rPr>
      </w:pPr>
    </w:p>
    <w:p w14:paraId="6F0CB73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xiv. BCs can facilitate the process only at the customer end and as already stated in para B(b) above, the official at the other end of V-CIP interaction should necessarily be a bank official. Banks shall maintain the details of the BC assisting the customer, where services of BCs are utilized. The ultimate responsibility for customer due diligence will be with the bank.</w:t>
      </w:r>
    </w:p>
    <w:p w14:paraId="55DD760C" w14:textId="77777777" w:rsidR="00861364" w:rsidRPr="00C902C8" w:rsidRDefault="00861364" w:rsidP="00861364">
      <w:pPr>
        <w:spacing w:after="0" w:line="240" w:lineRule="auto"/>
        <w:jc w:val="both"/>
        <w:rPr>
          <w:rFonts w:ascii="Times New Roman" w:hAnsi="Times New Roman" w:cs="Times New Roman"/>
          <w:sz w:val="24"/>
          <w:szCs w:val="24"/>
        </w:rPr>
      </w:pPr>
    </w:p>
    <w:p w14:paraId="2C0685B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updated to reflect the above changes and shall come into force with immediate effect.</w:t>
      </w:r>
    </w:p>
    <w:p w14:paraId="1143E79E"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51945BA" w14:textId="77777777" w:rsidR="00861364" w:rsidRPr="00C902C8" w:rsidRDefault="00861364" w:rsidP="00861364">
      <w:pPr>
        <w:spacing w:after="0" w:line="240" w:lineRule="auto"/>
        <w:jc w:val="both"/>
        <w:rPr>
          <w:rFonts w:ascii="Times New Roman" w:hAnsi="Times New Roman" w:cs="Times New Roman"/>
          <w:sz w:val="24"/>
          <w:szCs w:val="24"/>
        </w:rPr>
      </w:pPr>
    </w:p>
    <w:p w14:paraId="6594ECA6"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1D4794B8" w14:textId="77777777" w:rsidR="00861364" w:rsidRPr="00C902C8" w:rsidRDefault="00861364" w:rsidP="00861364">
      <w:pPr>
        <w:spacing w:after="0" w:line="240" w:lineRule="auto"/>
        <w:jc w:val="both"/>
        <w:rPr>
          <w:rFonts w:ascii="Times New Roman" w:hAnsi="Times New Roman" w:cs="Times New Roman"/>
          <w:b/>
          <w:bCs/>
          <w:sz w:val="24"/>
          <w:szCs w:val="24"/>
        </w:rPr>
      </w:pPr>
    </w:p>
    <w:p w14:paraId="5E21065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RBI/2019-20/207 DOR.AML.BC.No.61/14.01.001/2019-20</w:t>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33FD6451" w14:textId="77777777" w:rsidR="00861364" w:rsidRPr="00C902C8" w:rsidRDefault="00861364" w:rsidP="00861364">
      <w:pPr>
        <w:spacing w:after="0" w:line="240" w:lineRule="auto"/>
        <w:jc w:val="both"/>
        <w:rPr>
          <w:rFonts w:ascii="Times New Roman" w:hAnsi="Times New Roman" w:cs="Times New Roman"/>
          <w:sz w:val="24"/>
          <w:szCs w:val="24"/>
        </w:rPr>
      </w:pPr>
    </w:p>
    <w:p w14:paraId="1AFE450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27ABE475" w14:textId="77777777" w:rsidR="00861364" w:rsidRPr="00C902C8" w:rsidRDefault="00861364" w:rsidP="00861364">
      <w:pPr>
        <w:spacing w:after="0" w:line="240" w:lineRule="auto"/>
        <w:jc w:val="both"/>
        <w:rPr>
          <w:rFonts w:ascii="Times New Roman" w:hAnsi="Times New Roman" w:cs="Times New Roman"/>
          <w:sz w:val="24"/>
          <w:szCs w:val="24"/>
        </w:rPr>
      </w:pPr>
    </w:p>
    <w:p w14:paraId="0868231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228(E) dated March 31, 2020 has notified amendment to the Prevention of Money-laundering (Maintenance of Records) Rules, 2005.</w:t>
      </w:r>
    </w:p>
    <w:p w14:paraId="1E16E0E1" w14:textId="77777777" w:rsidR="00861364" w:rsidRPr="00C902C8" w:rsidRDefault="00861364" w:rsidP="00861364">
      <w:pPr>
        <w:spacing w:after="0" w:line="240" w:lineRule="auto"/>
        <w:jc w:val="both"/>
        <w:rPr>
          <w:rFonts w:ascii="Times New Roman" w:hAnsi="Times New Roman" w:cs="Times New Roman"/>
          <w:sz w:val="24"/>
          <w:szCs w:val="24"/>
        </w:rPr>
      </w:pPr>
    </w:p>
    <w:p w14:paraId="6EBDE21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Consequent to the aforementioned amendment to the PML Rules, Master Direction on KYC dated February 25, 2016 has been updated as under:</w:t>
      </w:r>
    </w:p>
    <w:p w14:paraId="05968736" w14:textId="77777777" w:rsidR="00861364" w:rsidRPr="00C902C8" w:rsidRDefault="00861364" w:rsidP="00861364">
      <w:pPr>
        <w:spacing w:after="0" w:line="240" w:lineRule="auto"/>
        <w:jc w:val="both"/>
        <w:rPr>
          <w:rFonts w:ascii="Times New Roman" w:hAnsi="Times New Roman" w:cs="Times New Roman"/>
          <w:sz w:val="24"/>
          <w:szCs w:val="24"/>
        </w:rPr>
      </w:pPr>
    </w:p>
    <w:p w14:paraId="7ACDDE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Clause (g) has been inserted in the conditions stipulated for Small Accounts in Section 23 of the MD. Clause (g) reads as,</w:t>
      </w:r>
    </w:p>
    <w:p w14:paraId="46E89964" w14:textId="77777777" w:rsidR="00861364" w:rsidRPr="00C902C8" w:rsidRDefault="00861364" w:rsidP="00861364">
      <w:pPr>
        <w:spacing w:after="0" w:line="240" w:lineRule="auto"/>
        <w:jc w:val="both"/>
        <w:rPr>
          <w:rFonts w:ascii="Times New Roman" w:hAnsi="Times New Roman" w:cs="Times New Roman"/>
          <w:sz w:val="24"/>
          <w:szCs w:val="24"/>
        </w:rPr>
      </w:pPr>
    </w:p>
    <w:p w14:paraId="6451592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“Notwithstanding anything contained in clauses (e) and (f) above, the small account shall remain operational between April 1, 2020 and June 30, 2020 and such other periods as may be notified by the Central Government.”</w:t>
      </w:r>
    </w:p>
    <w:p w14:paraId="1FD74155" w14:textId="77777777" w:rsidR="00861364" w:rsidRPr="00C902C8" w:rsidRDefault="00861364" w:rsidP="00861364">
      <w:pPr>
        <w:spacing w:after="0" w:line="240" w:lineRule="auto"/>
        <w:jc w:val="both"/>
        <w:rPr>
          <w:rFonts w:ascii="Times New Roman" w:hAnsi="Times New Roman" w:cs="Times New Roman"/>
          <w:sz w:val="24"/>
          <w:szCs w:val="24"/>
        </w:rPr>
      </w:pPr>
    </w:p>
    <w:p w14:paraId="1FF22AE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amended to reflect the above change and shall come into force with immediate effect.</w:t>
      </w:r>
    </w:p>
    <w:p w14:paraId="2863BAC7"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1501313F" w14:textId="77777777" w:rsidR="00861364" w:rsidRPr="00C902C8" w:rsidRDefault="00861364" w:rsidP="00861364">
      <w:pPr>
        <w:spacing w:after="0" w:line="240" w:lineRule="auto"/>
        <w:jc w:val="both"/>
        <w:rPr>
          <w:rFonts w:ascii="Times New Roman" w:hAnsi="Times New Roman" w:cs="Times New Roman"/>
          <w:sz w:val="24"/>
          <w:szCs w:val="24"/>
        </w:rPr>
      </w:pPr>
    </w:p>
    <w:p w14:paraId="69CB0644"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Internal ML/TF risk assessment by REs - Amendment to Master Direction (MD) on KYC</w:t>
      </w:r>
    </w:p>
    <w:p w14:paraId="2CBC4A60" w14:textId="77777777" w:rsidR="00861364" w:rsidRPr="00C902C8" w:rsidRDefault="00861364" w:rsidP="00861364">
      <w:pPr>
        <w:spacing w:after="0" w:line="240" w:lineRule="auto"/>
        <w:jc w:val="both"/>
        <w:rPr>
          <w:rFonts w:ascii="Times New Roman" w:hAnsi="Times New Roman" w:cs="Times New Roman"/>
          <w:b/>
          <w:bCs/>
          <w:sz w:val="24"/>
          <w:szCs w:val="24"/>
        </w:rPr>
      </w:pPr>
    </w:p>
    <w:p w14:paraId="4E7E1F6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RBI/2019-20/221 DOR.AML.BC.No.66/14.01.001/2019-20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20, 2020</w:t>
      </w:r>
    </w:p>
    <w:p w14:paraId="578702FD" w14:textId="77777777" w:rsidR="00861364" w:rsidRPr="00C902C8" w:rsidRDefault="00861364" w:rsidP="00861364">
      <w:pPr>
        <w:spacing w:after="0" w:line="240" w:lineRule="auto"/>
        <w:jc w:val="both"/>
        <w:rPr>
          <w:rFonts w:ascii="Times New Roman" w:hAnsi="Times New Roman" w:cs="Times New Roman"/>
          <w:sz w:val="24"/>
          <w:szCs w:val="24"/>
        </w:rPr>
      </w:pPr>
    </w:p>
    <w:p w14:paraId="718A7E9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69269EFF" w14:textId="77777777" w:rsidR="00861364" w:rsidRPr="00C902C8" w:rsidRDefault="00861364" w:rsidP="00861364">
      <w:pPr>
        <w:spacing w:after="0" w:line="240" w:lineRule="auto"/>
        <w:jc w:val="both"/>
        <w:rPr>
          <w:rFonts w:ascii="Times New Roman" w:hAnsi="Times New Roman" w:cs="Times New Roman"/>
          <w:sz w:val="24"/>
          <w:szCs w:val="24"/>
        </w:rPr>
      </w:pPr>
    </w:p>
    <w:p w14:paraId="09AE958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on KYC dated February 25, 2016, is hereby updated to reflect the following changes in line with Rule 9(13) of the PML Rules 2005:</w:t>
      </w:r>
    </w:p>
    <w:p w14:paraId="09AA0274" w14:textId="77777777" w:rsidR="00861364" w:rsidRPr="00C902C8" w:rsidRDefault="00861364" w:rsidP="00861364">
      <w:pPr>
        <w:spacing w:after="0" w:line="240" w:lineRule="auto"/>
        <w:jc w:val="both"/>
        <w:rPr>
          <w:rFonts w:ascii="Times New Roman" w:hAnsi="Times New Roman" w:cs="Times New Roman"/>
          <w:sz w:val="24"/>
          <w:szCs w:val="24"/>
        </w:rPr>
      </w:pPr>
    </w:p>
    <w:p w14:paraId="5A2CE36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new section (5A) has been added to chapter II of the MD on KYC requiring REs to carry out ‘Money Laundering (ML) and Terrorist Financing (TF) Risk Assessment’ exercise periodically to identify, assess and take effective measures to mitigate its money laundering and terrorist financing risk for clients, countries or geographic areas, products, services, transactions or delivery channels, etc. While assessing the ML/TF risk, the REs are required to take cognizance of the overall sector-specific vulnerabilities, if any, that the regulator/supervisor may share with REs from time to time. Further, the internal risk assessment carried out by the RE should be commensurate to its size, geographical presence, complexity of activities/structure, etc.</w:t>
      </w:r>
    </w:p>
    <w:p w14:paraId="071C8FEF" w14:textId="77777777" w:rsidR="00861364" w:rsidRPr="00C902C8" w:rsidRDefault="00861364" w:rsidP="00861364">
      <w:pPr>
        <w:spacing w:after="0" w:line="240" w:lineRule="auto"/>
        <w:jc w:val="both"/>
        <w:rPr>
          <w:rFonts w:ascii="Times New Roman" w:hAnsi="Times New Roman" w:cs="Times New Roman"/>
          <w:sz w:val="24"/>
          <w:szCs w:val="24"/>
        </w:rPr>
      </w:pPr>
    </w:p>
    <w:p w14:paraId="6DCA691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Also, the REs shall apply a Risk Based Approach (RBA) for mitigation and management of the identified risk and should have Board approved policies, controls and procedures in this regard.</w:t>
      </w:r>
    </w:p>
    <w:p w14:paraId="092D6F3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above instructions shall come into force with immediate effect. It may be noted that the first such internal risk assessment by the REs should be completed by June 30, 2020 and thereafter reviewed periodically.</w:t>
      </w:r>
    </w:p>
    <w:p w14:paraId="2F107A1B"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26293195" w14:textId="77777777" w:rsidR="00861364" w:rsidRPr="00C902C8" w:rsidRDefault="00861364" w:rsidP="00861364">
      <w:pPr>
        <w:spacing w:after="0" w:line="240" w:lineRule="auto"/>
        <w:jc w:val="both"/>
        <w:rPr>
          <w:rFonts w:ascii="Times New Roman" w:hAnsi="Times New Roman" w:cs="Times New Roman"/>
          <w:sz w:val="24"/>
          <w:szCs w:val="24"/>
        </w:rPr>
      </w:pPr>
    </w:p>
    <w:p w14:paraId="155FD774" w14:textId="77777777" w:rsidR="00861364" w:rsidRDefault="00861364" w:rsidP="00861364">
      <w:pPr>
        <w:spacing w:after="0" w:line="240" w:lineRule="auto"/>
        <w:jc w:val="both"/>
        <w:rPr>
          <w:rFonts w:ascii="Times New Roman" w:hAnsi="Times New Roman" w:cs="Times New Roman"/>
          <w:b/>
          <w:bCs/>
          <w:sz w:val="24"/>
          <w:szCs w:val="24"/>
        </w:rPr>
      </w:pPr>
    </w:p>
    <w:p w14:paraId="18D94B12"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Extending Master Direction – Know Your Customer (KYC) Direction, 2016 to Housing Finance Companies</w:t>
      </w:r>
    </w:p>
    <w:p w14:paraId="6321A16B" w14:textId="77777777" w:rsidR="00861364" w:rsidRPr="00C902C8" w:rsidRDefault="00861364" w:rsidP="00861364">
      <w:pPr>
        <w:spacing w:after="0" w:line="240" w:lineRule="auto"/>
        <w:jc w:val="both"/>
        <w:rPr>
          <w:rFonts w:ascii="Times New Roman" w:hAnsi="Times New Roman" w:cs="Times New Roman"/>
          <w:b/>
          <w:bCs/>
          <w:sz w:val="24"/>
          <w:szCs w:val="24"/>
        </w:rPr>
      </w:pPr>
    </w:p>
    <w:p w14:paraId="1C3A625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RBI/2019-20/235 DOR.NBFC (HFC).CC.No.111/03.10.136/2019-20 </w:t>
      </w:r>
      <w:r w:rsidRPr="00C902C8">
        <w:rPr>
          <w:rFonts w:ascii="Times New Roman" w:hAnsi="Times New Roman" w:cs="Times New Roman"/>
          <w:sz w:val="24"/>
          <w:szCs w:val="24"/>
        </w:rPr>
        <w:tab/>
        <w:t>May 19, 2020</w:t>
      </w:r>
    </w:p>
    <w:p w14:paraId="06DB3644" w14:textId="77777777" w:rsidR="00861364" w:rsidRPr="00C902C8" w:rsidRDefault="00861364" w:rsidP="00861364">
      <w:pPr>
        <w:spacing w:after="0" w:line="240" w:lineRule="auto"/>
        <w:jc w:val="both"/>
        <w:rPr>
          <w:rFonts w:ascii="Times New Roman" w:hAnsi="Times New Roman" w:cs="Times New Roman"/>
          <w:sz w:val="24"/>
          <w:szCs w:val="24"/>
        </w:rPr>
      </w:pPr>
    </w:p>
    <w:p w14:paraId="22BD8AF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5C88414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Housing Finance Companies</w:t>
      </w:r>
    </w:p>
    <w:p w14:paraId="723C1E32" w14:textId="77777777" w:rsidR="00861364" w:rsidRPr="00C902C8" w:rsidRDefault="00861364" w:rsidP="00861364">
      <w:pPr>
        <w:spacing w:after="0" w:line="240" w:lineRule="auto"/>
        <w:jc w:val="both"/>
        <w:rPr>
          <w:rFonts w:ascii="Times New Roman" w:hAnsi="Times New Roman" w:cs="Times New Roman"/>
          <w:sz w:val="24"/>
          <w:szCs w:val="24"/>
        </w:rPr>
      </w:pPr>
    </w:p>
    <w:p w14:paraId="075F5E3A"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 Know Your Customer (KYC) Direction, 2016 issued by the Bank has consolidated directions on Know Your Customer (KYC), Anti-Money Laundering (AML) and Combating the Financing of Terrorism (CFT) and is applicable to all Regulated Entities of the Bank. In this connection, attention is invited to our Press Release no.2019-2020/419 dated August 13, 2019 on transfer of regulation of Housing Finance Companies to Reserve Bank of India.</w:t>
      </w:r>
    </w:p>
    <w:p w14:paraId="70AE867F" w14:textId="77777777" w:rsidR="00861364" w:rsidRPr="00C902C8" w:rsidRDefault="00861364" w:rsidP="00861364">
      <w:pPr>
        <w:spacing w:after="0" w:line="240" w:lineRule="auto"/>
        <w:jc w:val="both"/>
        <w:rPr>
          <w:rFonts w:ascii="Times New Roman" w:hAnsi="Times New Roman" w:cs="Times New Roman"/>
          <w:sz w:val="24"/>
          <w:szCs w:val="24"/>
        </w:rPr>
      </w:pPr>
    </w:p>
    <w:p w14:paraId="726AB58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to extend the Master Direction – Know Your Customer (KYC) Direction, 2016 to all Housing Finance Companies.</w:t>
      </w:r>
    </w:p>
    <w:p w14:paraId="02C25AB4" w14:textId="77777777" w:rsidR="00861364" w:rsidRPr="00C902C8" w:rsidRDefault="00861364" w:rsidP="00861364">
      <w:pPr>
        <w:spacing w:after="0" w:line="240" w:lineRule="auto"/>
        <w:jc w:val="both"/>
        <w:rPr>
          <w:rFonts w:ascii="Times New Roman" w:hAnsi="Times New Roman" w:cs="Times New Roman"/>
          <w:sz w:val="24"/>
          <w:szCs w:val="24"/>
        </w:rPr>
      </w:pPr>
    </w:p>
    <w:p w14:paraId="751E657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Instructions/ guidelines/ regulations contained in the circulars mentioned in the Appendix, issued by National Housing Bank (erstwhile regulator of Housing Finance Companies) stand repealed.</w:t>
      </w:r>
    </w:p>
    <w:p w14:paraId="2A2730F2"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3C8D6CA3" w14:textId="77777777" w:rsidR="00861364" w:rsidRPr="00C902C8" w:rsidRDefault="00861364" w:rsidP="00861364">
      <w:pPr>
        <w:spacing w:after="0" w:line="240" w:lineRule="auto"/>
        <w:jc w:val="both"/>
        <w:rPr>
          <w:rFonts w:ascii="Times New Roman" w:hAnsi="Times New Roman" w:cs="Times New Roman"/>
          <w:sz w:val="24"/>
          <w:szCs w:val="24"/>
        </w:rPr>
      </w:pPr>
    </w:p>
    <w:p w14:paraId="188D6FF3" w14:textId="77777777" w:rsidR="00861364" w:rsidRDefault="00861364" w:rsidP="00861364">
      <w:pPr>
        <w:spacing w:after="0" w:line="240" w:lineRule="auto"/>
        <w:jc w:val="both"/>
        <w:rPr>
          <w:rFonts w:ascii="Times New Roman" w:hAnsi="Times New Roman" w:cs="Times New Roman"/>
          <w:b/>
          <w:bCs/>
          <w:sz w:val="24"/>
          <w:szCs w:val="24"/>
        </w:rPr>
      </w:pPr>
    </w:p>
    <w:p w14:paraId="050C82BD"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Processing of e-mandate in Unified Payments Interface (UPI) for recurring transactions</w:t>
      </w:r>
    </w:p>
    <w:p w14:paraId="4C004EBF" w14:textId="77777777" w:rsidR="00861364" w:rsidRPr="00C902C8" w:rsidRDefault="00861364" w:rsidP="00861364">
      <w:pPr>
        <w:spacing w:after="0" w:line="240" w:lineRule="auto"/>
        <w:jc w:val="both"/>
        <w:rPr>
          <w:rFonts w:ascii="Times New Roman" w:hAnsi="Times New Roman" w:cs="Times New Roman"/>
          <w:b/>
          <w:bCs/>
          <w:sz w:val="24"/>
          <w:szCs w:val="24"/>
        </w:rPr>
      </w:pPr>
    </w:p>
    <w:p w14:paraId="42D9D72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RBI/2019-20/139 DPSS.CO.PD No.1324/02.23.001/2019-20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3A206809" w14:textId="77777777" w:rsidR="00861364" w:rsidRPr="00C902C8" w:rsidRDefault="00861364" w:rsidP="00861364">
      <w:pPr>
        <w:spacing w:after="0" w:line="240" w:lineRule="auto"/>
        <w:jc w:val="both"/>
        <w:rPr>
          <w:rFonts w:ascii="Times New Roman" w:hAnsi="Times New Roman" w:cs="Times New Roman"/>
          <w:sz w:val="24"/>
          <w:szCs w:val="24"/>
        </w:rPr>
      </w:pPr>
    </w:p>
    <w:p w14:paraId="0843EBD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Managing Director &amp; CEO</w:t>
      </w:r>
    </w:p>
    <w:p w14:paraId="30BACD3A"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National Payments Corporation of India</w:t>
      </w:r>
    </w:p>
    <w:p w14:paraId="0960002B" w14:textId="77777777" w:rsidR="00861364" w:rsidRPr="00C902C8" w:rsidRDefault="00861364" w:rsidP="00861364">
      <w:pPr>
        <w:spacing w:after="0" w:line="240" w:lineRule="auto"/>
        <w:jc w:val="both"/>
        <w:rPr>
          <w:rFonts w:ascii="Times New Roman" w:hAnsi="Times New Roman" w:cs="Times New Roman"/>
          <w:sz w:val="24"/>
          <w:szCs w:val="24"/>
        </w:rPr>
      </w:pPr>
    </w:p>
    <w:p w14:paraId="42F319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DPSS.CO.PD.No.447/02.14.003/2019-20 dated August 21, 2019 on “Processing of e-mandate on cards for recurring transactions” whereby processing of e-mandate on cards / Prepaid Payment Instruments (PPIs) was permitted for recurring transactions (merchant payments), with Additional Factor of Authentication (AFA) during e-mandate registration, modification and revocation, as also for the first transaction, and simple / automatic subsequent successive transactions, subject to certain conditions.</w:t>
      </w:r>
    </w:p>
    <w:p w14:paraId="0330F549" w14:textId="77777777" w:rsidR="00861364" w:rsidRPr="00C902C8" w:rsidRDefault="00861364" w:rsidP="00861364">
      <w:pPr>
        <w:spacing w:after="0" w:line="240" w:lineRule="auto"/>
        <w:jc w:val="both"/>
        <w:rPr>
          <w:rFonts w:ascii="Times New Roman" w:hAnsi="Times New Roman" w:cs="Times New Roman"/>
          <w:sz w:val="24"/>
          <w:szCs w:val="24"/>
        </w:rPr>
      </w:pPr>
    </w:p>
    <w:p w14:paraId="083EAD0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of the developments since this facilitation, it has been decided to extend the above instructions to cover UPI transactions as well. All the instructions / conditions outlined in the circular under reference would apply, mutatis mutandis, while processing e-mandate in UPI. This is also in line with the measures proposed for furthering digital payments announced vide, the RBI Press Release dated November 8, 2019.</w:t>
      </w:r>
    </w:p>
    <w:p w14:paraId="67802E79" w14:textId="77777777" w:rsidR="00861364" w:rsidRPr="00C902C8" w:rsidRDefault="00861364" w:rsidP="00861364">
      <w:pPr>
        <w:spacing w:after="0" w:line="240" w:lineRule="auto"/>
        <w:jc w:val="both"/>
        <w:rPr>
          <w:rFonts w:ascii="Times New Roman" w:hAnsi="Times New Roman" w:cs="Times New Roman"/>
          <w:sz w:val="24"/>
          <w:szCs w:val="24"/>
        </w:rPr>
      </w:pPr>
    </w:p>
    <w:p w14:paraId="3B83B56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This directive is issued under Section 10 (2) read with Section 18 of Payment and Settlement Systems Act, 2007 (Act 51 of 2007).</w:t>
      </w:r>
    </w:p>
    <w:p w14:paraId="46D24E90" w14:textId="77777777" w:rsidR="00861364" w:rsidRPr="00C902C8" w:rsidRDefault="00861364" w:rsidP="00861364">
      <w:pPr>
        <w:spacing w:after="0" w:line="240" w:lineRule="auto"/>
        <w:jc w:val="both"/>
        <w:rPr>
          <w:rFonts w:ascii="Times New Roman" w:hAnsi="Times New Roman" w:cs="Times New Roman"/>
          <w:sz w:val="24"/>
          <w:szCs w:val="24"/>
        </w:rPr>
      </w:pPr>
    </w:p>
    <w:p w14:paraId="0D1CBB9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This may be brought to the notice of all the members of UPI.</w:t>
      </w:r>
    </w:p>
    <w:p w14:paraId="22562C96"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5EF932F5" w14:textId="77777777" w:rsidR="00861364" w:rsidRPr="00C902C8" w:rsidRDefault="00861364" w:rsidP="00861364">
      <w:pPr>
        <w:spacing w:after="0" w:line="240" w:lineRule="auto"/>
        <w:jc w:val="both"/>
        <w:rPr>
          <w:rFonts w:ascii="Times New Roman" w:hAnsi="Times New Roman" w:cs="Times New Roman"/>
          <w:sz w:val="24"/>
          <w:szCs w:val="24"/>
        </w:rPr>
      </w:pPr>
    </w:p>
    <w:p w14:paraId="1924D140" w14:textId="77777777" w:rsidR="00861364" w:rsidRDefault="00861364" w:rsidP="00861364">
      <w:pPr>
        <w:spacing w:after="0" w:line="240" w:lineRule="auto"/>
        <w:jc w:val="both"/>
        <w:rPr>
          <w:rFonts w:ascii="Times New Roman" w:hAnsi="Times New Roman" w:cs="Times New Roman"/>
          <w:b/>
          <w:bCs/>
          <w:sz w:val="24"/>
          <w:szCs w:val="24"/>
        </w:rPr>
      </w:pPr>
    </w:p>
    <w:p w14:paraId="347C3B79"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w:t>
      </w:r>
    </w:p>
    <w:p w14:paraId="1D0265C7" w14:textId="77777777" w:rsidR="00861364" w:rsidRPr="00C902C8" w:rsidRDefault="00861364" w:rsidP="00861364">
      <w:pPr>
        <w:spacing w:after="0" w:line="240" w:lineRule="auto"/>
        <w:jc w:val="both"/>
        <w:rPr>
          <w:rFonts w:ascii="Times New Roman" w:hAnsi="Times New Roman" w:cs="Times New Roman"/>
          <w:b/>
          <w:bCs/>
          <w:sz w:val="24"/>
          <w:szCs w:val="24"/>
        </w:rPr>
      </w:pPr>
    </w:p>
    <w:p w14:paraId="00074E7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RBI/2019-20/140 DPSS.CO.OD.No.1328/06.08.005/2019-20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33594C5F" w14:textId="77777777" w:rsidR="00861364" w:rsidRPr="00C902C8" w:rsidRDefault="00861364" w:rsidP="00861364">
      <w:pPr>
        <w:spacing w:after="0" w:line="240" w:lineRule="auto"/>
        <w:jc w:val="both"/>
        <w:rPr>
          <w:rFonts w:ascii="Times New Roman" w:hAnsi="Times New Roman" w:cs="Times New Roman"/>
          <w:sz w:val="24"/>
          <w:szCs w:val="24"/>
        </w:rPr>
      </w:pPr>
    </w:p>
    <w:p w14:paraId="03D3B40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Chairman / Managing Director / Chief Executive Officer </w:t>
      </w:r>
    </w:p>
    <w:p w14:paraId="6BAD432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Payment System Operators / Banks</w:t>
      </w:r>
    </w:p>
    <w:p w14:paraId="70F64998" w14:textId="77777777" w:rsidR="00861364" w:rsidRPr="00C902C8" w:rsidRDefault="00861364" w:rsidP="00861364">
      <w:pPr>
        <w:spacing w:after="0" w:line="240" w:lineRule="auto"/>
        <w:jc w:val="both"/>
        <w:rPr>
          <w:rFonts w:ascii="Times New Roman" w:hAnsi="Times New Roman" w:cs="Times New Roman"/>
          <w:sz w:val="24"/>
          <w:szCs w:val="24"/>
        </w:rPr>
      </w:pPr>
    </w:p>
    <w:p w14:paraId="337233F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Reserve Bank of India (RBI) circular DPSS.CO.OD.No.1082/06.08.005/2016-17 dated October 20, 2016 advising the framework for imposition of monetary penalty and compounding of contraventions / offences under Sections 30 and 31, respectively of the Payment and Settlement Systems (PSS) Act, 2007.</w:t>
      </w:r>
    </w:p>
    <w:p w14:paraId="3F418724" w14:textId="77777777" w:rsidR="00861364" w:rsidRPr="00C902C8" w:rsidRDefault="00861364" w:rsidP="00861364">
      <w:pPr>
        <w:spacing w:after="0" w:line="240" w:lineRule="auto"/>
        <w:jc w:val="both"/>
        <w:rPr>
          <w:rFonts w:ascii="Times New Roman" w:hAnsi="Times New Roman" w:cs="Times New Roman"/>
          <w:sz w:val="24"/>
          <w:szCs w:val="24"/>
        </w:rPr>
      </w:pPr>
    </w:p>
    <w:p w14:paraId="4FEA512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The payment system landscape has witnessed rapid developments since then with increased adoption of technology, availability of payment products, entry of more non-bank players, dis-intermediation, significant surge in turnover, etc. To ensure that the payment systems are safe and secure and the various stakeholders conform to regulatory requirements, on review it has been decided to revise the process of levy of penalty on payment system operators by the Reserve Bank of India.</w:t>
      </w:r>
    </w:p>
    <w:p w14:paraId="6B39617F" w14:textId="77777777" w:rsidR="00861364" w:rsidRPr="00C902C8" w:rsidRDefault="00861364" w:rsidP="00861364">
      <w:pPr>
        <w:spacing w:after="0" w:line="240" w:lineRule="auto"/>
        <w:jc w:val="both"/>
        <w:rPr>
          <w:rFonts w:ascii="Times New Roman" w:hAnsi="Times New Roman" w:cs="Times New Roman"/>
          <w:sz w:val="24"/>
          <w:szCs w:val="24"/>
        </w:rPr>
      </w:pPr>
    </w:p>
    <w:p w14:paraId="135E34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 table showing the changes made to the existing framework is in Annex 1; salient features of the revised framework are in Annex 2. The revised framework continues to centre around objectivity and transparency in the decision-making process. It may be noted that action taken under this framework would be without prejudice to any other laws of the country.</w:t>
      </w:r>
    </w:p>
    <w:p w14:paraId="201BA903" w14:textId="77777777" w:rsidR="00861364" w:rsidRPr="00C902C8" w:rsidRDefault="00861364" w:rsidP="00861364">
      <w:pPr>
        <w:spacing w:after="0" w:line="240" w:lineRule="auto"/>
        <w:jc w:val="both"/>
        <w:rPr>
          <w:rFonts w:ascii="Times New Roman" w:hAnsi="Times New Roman" w:cs="Times New Roman"/>
          <w:sz w:val="24"/>
          <w:szCs w:val="24"/>
        </w:rPr>
      </w:pPr>
    </w:p>
    <w:p w14:paraId="602F8F16"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1</w:t>
      </w:r>
    </w:p>
    <w:p w14:paraId="1B912546" w14:textId="77777777" w:rsidR="00861364" w:rsidRPr="00C902C8" w:rsidRDefault="00861364" w:rsidP="00861364">
      <w:pPr>
        <w:spacing w:after="0" w:line="240" w:lineRule="auto"/>
        <w:jc w:val="both"/>
        <w:rPr>
          <w:rFonts w:ascii="Times New Roman" w:hAnsi="Times New Roman" w:cs="Times New Roman"/>
          <w:sz w:val="24"/>
          <w:szCs w:val="24"/>
        </w:rPr>
      </w:pPr>
    </w:p>
    <w:p w14:paraId="2A4F9F96"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 – Existing framework vis-à-vis the Revised framework</w:t>
      </w:r>
    </w:p>
    <w:p w14:paraId="4BA9F6F6" w14:textId="77777777" w:rsidR="00861364" w:rsidRPr="00C902C8" w:rsidRDefault="00861364" w:rsidP="00861364">
      <w:pPr>
        <w:spacing w:after="0" w:line="240" w:lineRule="auto"/>
        <w:jc w:val="both"/>
        <w:rPr>
          <w:rFonts w:ascii="Times New Roman" w:hAnsi="Times New Roman" w:cs="Times New Roman"/>
          <w:sz w:val="24"/>
          <w:szCs w:val="24"/>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1789"/>
        <w:gridCol w:w="2901"/>
        <w:gridCol w:w="3413"/>
        <w:gridCol w:w="18"/>
      </w:tblGrid>
      <w:tr w:rsidR="00861364" w:rsidRPr="00C902C8" w14:paraId="172B131E" w14:textId="77777777" w:rsidTr="005E14B1">
        <w:trPr>
          <w:gridAfter w:val="1"/>
          <w:jc w:val="center"/>
        </w:trPr>
        <w:tc>
          <w:tcPr>
            <w:tcW w:w="249" w:type="pct"/>
            <w:tcMar>
              <w:top w:w="0" w:type="dxa"/>
              <w:left w:w="45" w:type="dxa"/>
              <w:bottom w:w="0" w:type="dxa"/>
              <w:right w:w="45" w:type="dxa"/>
            </w:tcMar>
            <w:vAlign w:val="center"/>
            <w:hideMark/>
          </w:tcPr>
          <w:p w14:paraId="5274216B"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Sr. No.</w:t>
            </w:r>
          </w:p>
        </w:tc>
        <w:tc>
          <w:tcPr>
            <w:tcW w:w="1047" w:type="pct"/>
            <w:tcMar>
              <w:top w:w="0" w:type="dxa"/>
              <w:left w:w="45" w:type="dxa"/>
              <w:bottom w:w="0" w:type="dxa"/>
              <w:right w:w="45" w:type="dxa"/>
            </w:tcMar>
            <w:vAlign w:val="center"/>
            <w:hideMark/>
          </w:tcPr>
          <w:p w14:paraId="4C32EED8"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Subject</w:t>
            </w:r>
          </w:p>
        </w:tc>
        <w:tc>
          <w:tcPr>
            <w:tcW w:w="1696" w:type="pct"/>
            <w:tcMar>
              <w:top w:w="0" w:type="dxa"/>
              <w:left w:w="45" w:type="dxa"/>
              <w:bottom w:w="0" w:type="dxa"/>
              <w:right w:w="45" w:type="dxa"/>
            </w:tcMar>
            <w:vAlign w:val="center"/>
            <w:hideMark/>
          </w:tcPr>
          <w:p w14:paraId="5901C0AA"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Framework</w:t>
            </w:r>
            <w:r w:rsidRPr="00C902C8">
              <w:rPr>
                <w:rFonts w:ascii="Times New Roman" w:eastAsia="Times New Roman" w:hAnsi="Times New Roman" w:cs="Times New Roman"/>
                <w:b/>
                <w:bCs/>
                <w:color w:val="000000"/>
                <w:sz w:val="24"/>
                <w:szCs w:val="24"/>
                <w:lang w:eastAsia="en-IN"/>
              </w:rPr>
              <w:br/>
              <w:t>(Circular dated October 20, 2016)</w:t>
            </w:r>
          </w:p>
        </w:tc>
        <w:tc>
          <w:tcPr>
            <w:tcW w:w="1995" w:type="pct"/>
            <w:tcMar>
              <w:top w:w="0" w:type="dxa"/>
              <w:left w:w="45" w:type="dxa"/>
              <w:bottom w:w="0" w:type="dxa"/>
              <w:right w:w="45" w:type="dxa"/>
            </w:tcMar>
            <w:vAlign w:val="center"/>
            <w:hideMark/>
          </w:tcPr>
          <w:p w14:paraId="33491EB0"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Revised Framework</w:t>
            </w:r>
            <w:r w:rsidRPr="00C902C8">
              <w:rPr>
                <w:rFonts w:ascii="Times New Roman" w:eastAsia="Times New Roman" w:hAnsi="Times New Roman" w:cs="Times New Roman"/>
                <w:b/>
                <w:bCs/>
                <w:color w:val="000000"/>
                <w:sz w:val="24"/>
                <w:szCs w:val="24"/>
                <w:lang w:eastAsia="en-IN"/>
              </w:rPr>
              <w:br/>
              <w:t>(Circular dated January 10, 2020)</w:t>
            </w:r>
          </w:p>
        </w:tc>
      </w:tr>
      <w:tr w:rsidR="00861364" w:rsidRPr="00C902C8" w14:paraId="505E590C" w14:textId="77777777" w:rsidTr="005E14B1">
        <w:trPr>
          <w:gridAfter w:val="1"/>
          <w:jc w:val="center"/>
        </w:trPr>
        <w:tc>
          <w:tcPr>
            <w:tcW w:w="0" w:type="auto"/>
            <w:tcMar>
              <w:top w:w="0" w:type="dxa"/>
              <w:left w:w="45" w:type="dxa"/>
              <w:bottom w:w="0" w:type="dxa"/>
              <w:right w:w="45" w:type="dxa"/>
            </w:tcMar>
            <w:hideMark/>
          </w:tcPr>
          <w:p w14:paraId="6A891CD2"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w:t>
            </w:r>
          </w:p>
        </w:tc>
        <w:tc>
          <w:tcPr>
            <w:tcW w:w="0" w:type="auto"/>
            <w:tcMar>
              <w:top w:w="0" w:type="dxa"/>
              <w:left w:w="45" w:type="dxa"/>
              <w:bottom w:w="0" w:type="dxa"/>
              <w:right w:w="45" w:type="dxa"/>
            </w:tcMar>
            <w:hideMark/>
          </w:tcPr>
          <w:p w14:paraId="29238399"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w:t>
            </w:r>
          </w:p>
        </w:tc>
        <w:tc>
          <w:tcPr>
            <w:tcW w:w="0" w:type="auto"/>
            <w:tcMar>
              <w:top w:w="0" w:type="dxa"/>
              <w:left w:w="45" w:type="dxa"/>
              <w:bottom w:w="0" w:type="dxa"/>
              <w:right w:w="45" w:type="dxa"/>
            </w:tcMar>
            <w:hideMark/>
          </w:tcPr>
          <w:p w14:paraId="527C6038"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 contraventions have been mentioned; the type of contravention / violation for which RBI has powers to impose fine and compound, are not explicitly indicated.</w:t>
            </w:r>
          </w:p>
        </w:tc>
        <w:tc>
          <w:tcPr>
            <w:tcW w:w="0" w:type="auto"/>
            <w:tcMar>
              <w:top w:w="0" w:type="dxa"/>
              <w:left w:w="45" w:type="dxa"/>
              <w:bottom w:w="0" w:type="dxa"/>
              <w:right w:w="45" w:type="dxa"/>
            </w:tcMar>
            <w:hideMark/>
          </w:tcPr>
          <w:p w14:paraId="088423CE"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RBI has powers to impose monetary penalty in respect of certain contraventions as well as compound certain contraventions. The type / nature of contravention for which penalty can be imposed and compounded are different and vary. This has been detailed including the procedure to be followed.</w:t>
            </w:r>
          </w:p>
        </w:tc>
      </w:tr>
      <w:tr w:rsidR="00861364" w:rsidRPr="00C902C8" w14:paraId="0ABF7680" w14:textId="77777777" w:rsidTr="005E14B1">
        <w:trPr>
          <w:gridAfter w:val="1"/>
          <w:jc w:val="center"/>
        </w:trPr>
        <w:tc>
          <w:tcPr>
            <w:tcW w:w="0" w:type="auto"/>
            <w:tcMar>
              <w:top w:w="0" w:type="dxa"/>
              <w:left w:w="45" w:type="dxa"/>
              <w:bottom w:w="0" w:type="dxa"/>
              <w:right w:w="45" w:type="dxa"/>
            </w:tcMar>
            <w:hideMark/>
          </w:tcPr>
          <w:p w14:paraId="4E8AF893"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w:t>
            </w:r>
          </w:p>
        </w:tc>
        <w:tc>
          <w:tcPr>
            <w:tcW w:w="0" w:type="auto"/>
            <w:tcMar>
              <w:top w:w="0" w:type="dxa"/>
              <w:left w:w="45" w:type="dxa"/>
              <w:bottom w:w="0" w:type="dxa"/>
              <w:right w:w="45" w:type="dxa"/>
            </w:tcMar>
            <w:hideMark/>
          </w:tcPr>
          <w:p w14:paraId="446F09BA"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Procedure for imposing monetary penalty / fine</w:t>
            </w:r>
          </w:p>
        </w:tc>
        <w:tc>
          <w:tcPr>
            <w:tcW w:w="0" w:type="auto"/>
            <w:tcMar>
              <w:top w:w="0" w:type="dxa"/>
              <w:left w:w="45" w:type="dxa"/>
              <w:bottom w:w="0" w:type="dxa"/>
              <w:right w:w="45" w:type="dxa"/>
            </w:tcMar>
            <w:hideMark/>
          </w:tcPr>
          <w:p w14:paraId="72D4F4BE"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Single procedure for imposing monetary penalty / fine in respect of contraventions identified by RBI as well as compounding of contraventions.</w:t>
            </w:r>
          </w:p>
        </w:tc>
        <w:tc>
          <w:tcPr>
            <w:tcW w:w="0" w:type="auto"/>
            <w:tcMar>
              <w:top w:w="0" w:type="dxa"/>
              <w:left w:w="45" w:type="dxa"/>
              <w:bottom w:w="0" w:type="dxa"/>
              <w:right w:w="45" w:type="dxa"/>
            </w:tcMar>
            <w:hideMark/>
          </w:tcPr>
          <w:p w14:paraId="6EBE047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Considering that the powers of RBI to impose monetary penalty and compound contraventions are different, and further that the nature of identification of contraventions is also different, separate procedures have been proposed.</w:t>
            </w:r>
          </w:p>
        </w:tc>
      </w:tr>
      <w:tr w:rsidR="00861364" w:rsidRPr="00C902C8" w14:paraId="018C6A38" w14:textId="77777777" w:rsidTr="005E14B1">
        <w:trPr>
          <w:gridAfter w:val="1"/>
          <w:trHeight w:val="458"/>
          <w:jc w:val="center"/>
        </w:trPr>
        <w:tc>
          <w:tcPr>
            <w:tcW w:w="0" w:type="auto"/>
            <w:vMerge w:val="restart"/>
            <w:tcMar>
              <w:top w:w="0" w:type="dxa"/>
              <w:left w:w="45" w:type="dxa"/>
              <w:bottom w:w="0" w:type="dxa"/>
              <w:right w:w="45" w:type="dxa"/>
            </w:tcMar>
            <w:hideMark/>
          </w:tcPr>
          <w:p w14:paraId="6E31B170"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w:t>
            </w:r>
          </w:p>
        </w:tc>
        <w:tc>
          <w:tcPr>
            <w:tcW w:w="0" w:type="auto"/>
            <w:vMerge w:val="restart"/>
            <w:tcMar>
              <w:top w:w="0" w:type="dxa"/>
              <w:left w:w="45" w:type="dxa"/>
              <w:bottom w:w="0" w:type="dxa"/>
              <w:right w:w="45" w:type="dxa"/>
            </w:tcMar>
            <w:hideMark/>
          </w:tcPr>
          <w:p w14:paraId="03710496"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Delegation of powers to impose fine and compound contraventions</w:t>
            </w:r>
          </w:p>
        </w:tc>
        <w:tc>
          <w:tcPr>
            <w:tcW w:w="0" w:type="auto"/>
            <w:vMerge w:val="restart"/>
            <w:tcMar>
              <w:top w:w="0" w:type="dxa"/>
              <w:left w:w="45" w:type="dxa"/>
              <w:bottom w:w="0" w:type="dxa"/>
              <w:right w:w="45" w:type="dxa"/>
            </w:tcMar>
            <w:hideMark/>
          </w:tcPr>
          <w:p w14:paraId="21C99B60"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There is no mention of delegation of powers or about the designated authority.</w:t>
            </w:r>
          </w:p>
        </w:tc>
        <w:tc>
          <w:tcPr>
            <w:tcW w:w="0" w:type="auto"/>
            <w:vMerge w:val="restart"/>
            <w:tcMar>
              <w:top w:w="0" w:type="dxa"/>
              <w:left w:w="45" w:type="dxa"/>
              <w:bottom w:w="0" w:type="dxa"/>
              <w:right w:w="45" w:type="dxa"/>
            </w:tcMar>
            <w:hideMark/>
          </w:tcPr>
          <w:p w14:paraId="4E5A8425"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 powers to impose monetary penalty on account of RBI identified contraventions and compounding of contraventions have been separated.</w:t>
            </w:r>
          </w:p>
        </w:tc>
      </w:tr>
      <w:tr w:rsidR="00861364" w:rsidRPr="00C902C8" w14:paraId="4F656F21" w14:textId="77777777" w:rsidTr="005E14B1">
        <w:trPr>
          <w:jc w:val="center"/>
        </w:trPr>
        <w:tc>
          <w:tcPr>
            <w:tcW w:w="0" w:type="auto"/>
            <w:vMerge/>
            <w:vAlign w:val="center"/>
            <w:hideMark/>
          </w:tcPr>
          <w:p w14:paraId="02D3939B"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09D249B3"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63621354"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448C710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Align w:val="center"/>
            <w:hideMark/>
          </w:tcPr>
          <w:p w14:paraId="5AD8EF69"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r>
      <w:tr w:rsidR="00861364" w:rsidRPr="00C902C8" w14:paraId="38D12ABE" w14:textId="77777777" w:rsidTr="005E14B1">
        <w:trPr>
          <w:jc w:val="center"/>
        </w:trPr>
        <w:tc>
          <w:tcPr>
            <w:tcW w:w="0" w:type="auto"/>
            <w:tcMar>
              <w:top w:w="0" w:type="dxa"/>
              <w:left w:w="45" w:type="dxa"/>
              <w:bottom w:w="0" w:type="dxa"/>
              <w:right w:w="45" w:type="dxa"/>
            </w:tcMar>
            <w:hideMark/>
          </w:tcPr>
          <w:p w14:paraId="0165129E"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w:t>
            </w:r>
          </w:p>
        </w:tc>
        <w:tc>
          <w:tcPr>
            <w:tcW w:w="0" w:type="auto"/>
            <w:tcMar>
              <w:top w:w="0" w:type="dxa"/>
              <w:left w:w="45" w:type="dxa"/>
              <w:bottom w:w="0" w:type="dxa"/>
              <w:right w:w="45" w:type="dxa"/>
            </w:tcMar>
            <w:hideMark/>
          </w:tcPr>
          <w:p w14:paraId="1D87F1C5"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Issuance of Show Cause Notice (SCN)</w:t>
            </w:r>
          </w:p>
        </w:tc>
        <w:tc>
          <w:tcPr>
            <w:tcW w:w="0" w:type="auto"/>
            <w:tcMar>
              <w:top w:w="0" w:type="dxa"/>
              <w:left w:w="45" w:type="dxa"/>
              <w:bottom w:w="0" w:type="dxa"/>
              <w:right w:w="45" w:type="dxa"/>
            </w:tcMar>
            <w:hideMark/>
          </w:tcPr>
          <w:p w14:paraId="0352D92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In case RBI is not satisfied with the explanation furnished by the contravener, a SCN shall be issued. There is no methodology for considering various </w:t>
            </w:r>
            <w:r w:rsidRPr="00C902C8">
              <w:rPr>
                <w:rFonts w:ascii="Times New Roman" w:eastAsia="Times New Roman" w:hAnsi="Times New Roman" w:cs="Times New Roman"/>
                <w:color w:val="000000"/>
                <w:sz w:val="24"/>
                <w:szCs w:val="24"/>
                <w:lang w:eastAsia="en-IN"/>
              </w:rPr>
              <w:lastRenderedPageBreak/>
              <w:t>parameters to decide on its issue.</w:t>
            </w:r>
          </w:p>
        </w:tc>
        <w:tc>
          <w:tcPr>
            <w:tcW w:w="0" w:type="auto"/>
            <w:tcMar>
              <w:top w:w="0" w:type="dxa"/>
              <w:left w:w="45" w:type="dxa"/>
              <w:bottom w:w="0" w:type="dxa"/>
              <w:right w:w="45" w:type="dxa"/>
            </w:tcMar>
            <w:hideMark/>
          </w:tcPr>
          <w:p w14:paraId="1C617032"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The decision to issue SCN will be based on certain parameters dovetailed in a Scoring Matrix.</w:t>
            </w:r>
          </w:p>
        </w:tc>
        <w:tc>
          <w:tcPr>
            <w:tcW w:w="0" w:type="auto"/>
            <w:vAlign w:val="center"/>
            <w:hideMark/>
          </w:tcPr>
          <w:p w14:paraId="6119E0C7"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r w:rsidR="00861364" w:rsidRPr="00C902C8" w14:paraId="16B928FE" w14:textId="77777777" w:rsidTr="005E14B1">
        <w:trPr>
          <w:jc w:val="center"/>
        </w:trPr>
        <w:tc>
          <w:tcPr>
            <w:tcW w:w="0" w:type="auto"/>
            <w:tcMar>
              <w:top w:w="0" w:type="dxa"/>
              <w:left w:w="45" w:type="dxa"/>
              <w:bottom w:w="0" w:type="dxa"/>
              <w:right w:w="45" w:type="dxa"/>
            </w:tcMar>
            <w:hideMark/>
          </w:tcPr>
          <w:p w14:paraId="4B618128"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w:t>
            </w:r>
          </w:p>
        </w:tc>
        <w:tc>
          <w:tcPr>
            <w:tcW w:w="0" w:type="auto"/>
            <w:tcMar>
              <w:top w:w="0" w:type="dxa"/>
              <w:left w:w="45" w:type="dxa"/>
              <w:bottom w:w="0" w:type="dxa"/>
              <w:right w:w="45" w:type="dxa"/>
            </w:tcMar>
            <w:hideMark/>
          </w:tcPr>
          <w:p w14:paraId="76A4B5F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Action based on nature of contravention</w:t>
            </w:r>
          </w:p>
        </w:tc>
        <w:tc>
          <w:tcPr>
            <w:tcW w:w="0" w:type="auto"/>
            <w:tcMar>
              <w:top w:w="0" w:type="dxa"/>
              <w:left w:w="45" w:type="dxa"/>
              <w:bottom w:w="0" w:type="dxa"/>
              <w:right w:w="45" w:type="dxa"/>
            </w:tcMar>
            <w:hideMark/>
          </w:tcPr>
          <w:p w14:paraId="27E5CE2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No such procedure.</w:t>
            </w:r>
          </w:p>
        </w:tc>
        <w:tc>
          <w:tcPr>
            <w:tcW w:w="0" w:type="auto"/>
            <w:tcMar>
              <w:top w:w="0" w:type="dxa"/>
              <w:left w:w="45" w:type="dxa"/>
              <w:bottom w:w="0" w:type="dxa"/>
              <w:right w:w="45" w:type="dxa"/>
            </w:tcMar>
            <w:hideMark/>
          </w:tcPr>
          <w:p w14:paraId="362266BD"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Will depend on whether the contraventions are quantifiable or non-quantifiable.</w:t>
            </w:r>
          </w:p>
        </w:tc>
        <w:tc>
          <w:tcPr>
            <w:tcW w:w="0" w:type="auto"/>
            <w:vAlign w:val="center"/>
            <w:hideMark/>
          </w:tcPr>
          <w:p w14:paraId="60CC3FD1"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r w:rsidR="00861364" w:rsidRPr="00C902C8" w14:paraId="62176F72" w14:textId="77777777" w:rsidTr="005E14B1">
        <w:trPr>
          <w:jc w:val="center"/>
        </w:trPr>
        <w:tc>
          <w:tcPr>
            <w:tcW w:w="0" w:type="auto"/>
            <w:tcMar>
              <w:top w:w="0" w:type="dxa"/>
              <w:left w:w="45" w:type="dxa"/>
              <w:bottom w:w="0" w:type="dxa"/>
              <w:right w:w="45" w:type="dxa"/>
            </w:tcMar>
            <w:hideMark/>
          </w:tcPr>
          <w:p w14:paraId="5866599C"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w:t>
            </w:r>
          </w:p>
        </w:tc>
        <w:tc>
          <w:tcPr>
            <w:tcW w:w="0" w:type="auto"/>
            <w:tcMar>
              <w:top w:w="0" w:type="dxa"/>
              <w:left w:w="45" w:type="dxa"/>
              <w:bottom w:w="0" w:type="dxa"/>
              <w:right w:w="45" w:type="dxa"/>
            </w:tcMar>
            <w:hideMark/>
          </w:tcPr>
          <w:p w14:paraId="69889E7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Amount of monetary penalty</w:t>
            </w:r>
          </w:p>
        </w:tc>
        <w:tc>
          <w:tcPr>
            <w:tcW w:w="0" w:type="auto"/>
            <w:tcMar>
              <w:top w:w="0" w:type="dxa"/>
              <w:left w:w="45" w:type="dxa"/>
              <w:bottom w:w="0" w:type="dxa"/>
              <w:right w:w="45" w:type="dxa"/>
            </w:tcMar>
            <w:hideMark/>
          </w:tcPr>
          <w:p w14:paraId="39354C66"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For quantifiable contraventions – a minimum penalty of Rs. 5 lakh.</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For non-quantifiable contraventions - a penalty of minimum Rs. 5 lakh with a maximum of Rs. 1 crore.</w:t>
            </w:r>
          </w:p>
        </w:tc>
        <w:tc>
          <w:tcPr>
            <w:tcW w:w="0" w:type="auto"/>
            <w:tcMar>
              <w:top w:w="0" w:type="dxa"/>
              <w:left w:w="45" w:type="dxa"/>
              <w:bottom w:w="0" w:type="dxa"/>
              <w:right w:w="45" w:type="dxa"/>
            </w:tcMar>
            <w:hideMark/>
          </w:tcPr>
          <w:p w14:paraId="4CC0ABDD"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Objective methodology dovetailed into a scoring matrix to determine the amount of penalty to be imposed, including action for non-compliance.</w:t>
            </w:r>
          </w:p>
        </w:tc>
        <w:tc>
          <w:tcPr>
            <w:tcW w:w="0" w:type="auto"/>
            <w:vAlign w:val="center"/>
            <w:hideMark/>
          </w:tcPr>
          <w:p w14:paraId="168E09B7"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r w:rsidR="00861364" w:rsidRPr="00C902C8" w14:paraId="40C509CC" w14:textId="77777777" w:rsidTr="005E14B1">
        <w:trPr>
          <w:jc w:val="center"/>
        </w:trPr>
        <w:tc>
          <w:tcPr>
            <w:tcW w:w="0" w:type="auto"/>
            <w:tcMar>
              <w:top w:w="0" w:type="dxa"/>
              <w:left w:w="45" w:type="dxa"/>
              <w:bottom w:w="0" w:type="dxa"/>
              <w:right w:w="45" w:type="dxa"/>
            </w:tcMar>
            <w:hideMark/>
          </w:tcPr>
          <w:p w14:paraId="381B4A92"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w:t>
            </w:r>
          </w:p>
        </w:tc>
        <w:tc>
          <w:tcPr>
            <w:tcW w:w="0" w:type="auto"/>
            <w:tcMar>
              <w:top w:w="0" w:type="dxa"/>
              <w:left w:w="45" w:type="dxa"/>
              <w:bottom w:w="0" w:type="dxa"/>
              <w:right w:w="45" w:type="dxa"/>
            </w:tcMar>
            <w:hideMark/>
          </w:tcPr>
          <w:p w14:paraId="0A089AE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Type of contraventions that can be compounded</w:t>
            </w:r>
          </w:p>
        </w:tc>
        <w:tc>
          <w:tcPr>
            <w:tcW w:w="0" w:type="auto"/>
            <w:tcMar>
              <w:top w:w="0" w:type="dxa"/>
              <w:left w:w="45" w:type="dxa"/>
              <w:bottom w:w="0" w:type="dxa"/>
              <w:right w:w="45" w:type="dxa"/>
            </w:tcMar>
            <w:hideMark/>
          </w:tcPr>
          <w:p w14:paraId="072C78C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contraventions could be compounded.</w:t>
            </w:r>
          </w:p>
        </w:tc>
        <w:tc>
          <w:tcPr>
            <w:tcW w:w="0" w:type="auto"/>
            <w:tcMar>
              <w:top w:w="0" w:type="dxa"/>
              <w:left w:w="45" w:type="dxa"/>
              <w:bottom w:w="0" w:type="dxa"/>
              <w:right w:w="45" w:type="dxa"/>
            </w:tcMar>
            <w:hideMark/>
          </w:tcPr>
          <w:p w14:paraId="50221560"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offences mentioned in Section 26 of PSS Act, 2007 except those relating to sub-section 2 of Section 26, can be compounded.</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All eligible contraventions, irrespective of its nature of being quantifiable or non-quantifiable, shall be compounded.</w:t>
            </w:r>
          </w:p>
        </w:tc>
        <w:tc>
          <w:tcPr>
            <w:tcW w:w="0" w:type="auto"/>
            <w:vAlign w:val="center"/>
            <w:hideMark/>
          </w:tcPr>
          <w:p w14:paraId="469AEEB9"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bl>
    <w:p w14:paraId="6215A1BC"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2EAA633" w14:textId="77777777" w:rsidR="00861364" w:rsidRPr="00C902C8" w:rsidRDefault="00861364" w:rsidP="00861364">
      <w:pPr>
        <w:spacing w:after="0" w:line="240" w:lineRule="auto"/>
        <w:jc w:val="both"/>
        <w:rPr>
          <w:rFonts w:ascii="Times New Roman" w:hAnsi="Times New Roman" w:cs="Times New Roman"/>
          <w:b/>
          <w:bCs/>
          <w:sz w:val="24"/>
          <w:szCs w:val="24"/>
        </w:rPr>
      </w:pPr>
    </w:p>
    <w:p w14:paraId="2EF6EADD"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2</w:t>
      </w:r>
    </w:p>
    <w:p w14:paraId="519CEF55" w14:textId="77777777" w:rsidR="00861364" w:rsidRPr="00C902C8" w:rsidRDefault="00861364" w:rsidP="00861364">
      <w:pPr>
        <w:spacing w:after="0" w:line="240" w:lineRule="auto"/>
        <w:jc w:val="both"/>
        <w:rPr>
          <w:rFonts w:ascii="Times New Roman" w:hAnsi="Times New Roman" w:cs="Times New Roman"/>
          <w:sz w:val="24"/>
          <w:szCs w:val="24"/>
        </w:rPr>
      </w:pPr>
    </w:p>
    <w:p w14:paraId="0C9681EC"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Offences and Penalties</w:t>
      </w:r>
    </w:p>
    <w:p w14:paraId="0502FFBF" w14:textId="77777777" w:rsidR="00861364" w:rsidRPr="00C902C8" w:rsidRDefault="00861364" w:rsidP="00861364">
      <w:pPr>
        <w:spacing w:after="0" w:line="240" w:lineRule="auto"/>
        <w:jc w:val="both"/>
        <w:rPr>
          <w:rFonts w:ascii="Times New Roman" w:hAnsi="Times New Roman" w:cs="Times New Roman"/>
          <w:sz w:val="24"/>
          <w:szCs w:val="24"/>
        </w:rPr>
      </w:pPr>
    </w:p>
    <w:p w14:paraId="5F1A010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1.1 Section 26 of the Payment and Settlement Systems (PSS) Act, 2007 defines the following activities as offences, which are punishable with imprisonment or fine or both:</w:t>
      </w:r>
    </w:p>
    <w:p w14:paraId="03A63DB1" w14:textId="77777777" w:rsidR="00861364" w:rsidRPr="00C902C8" w:rsidRDefault="00861364" w:rsidP="00861364">
      <w:pPr>
        <w:spacing w:after="0" w:line="240" w:lineRule="auto"/>
        <w:jc w:val="both"/>
        <w:rPr>
          <w:rFonts w:ascii="Times New Roman" w:hAnsi="Times New Roman" w:cs="Times New Roman"/>
          <w:sz w:val="24"/>
          <w:szCs w:val="24"/>
        </w:rPr>
      </w:pPr>
    </w:p>
    <w:p w14:paraId="1B99621B" w14:textId="77777777" w:rsidR="00861364" w:rsidRPr="00C902C8" w:rsidRDefault="00861364" w:rsidP="00AF11B1">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operation of a payment system without authorisation by RBI;</w:t>
      </w:r>
    </w:p>
    <w:p w14:paraId="66555F20" w14:textId="77777777" w:rsidR="00861364" w:rsidRPr="00C902C8" w:rsidRDefault="00861364" w:rsidP="00AF11B1">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subject to which authorisation was issued;</w:t>
      </w:r>
    </w:p>
    <w:p w14:paraId="742F4D1A" w14:textId="77777777" w:rsidR="00861364" w:rsidRPr="00C902C8" w:rsidRDefault="00861364" w:rsidP="00AF11B1">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to submit a material statement in any application for authorisation or return or other document;</w:t>
      </w:r>
    </w:p>
    <w:p w14:paraId="55ADCFA9" w14:textId="77777777" w:rsidR="00861364" w:rsidRPr="00C902C8" w:rsidRDefault="00861364" w:rsidP="00AF11B1">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any statement, information, returns or documents;</w:t>
      </w:r>
    </w:p>
    <w:p w14:paraId="080471EC" w14:textId="77777777" w:rsidR="00861364" w:rsidRPr="00C902C8" w:rsidRDefault="00861364" w:rsidP="00AF11B1">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prohibited information;</w:t>
      </w:r>
    </w:p>
    <w:p w14:paraId="2D9310F3" w14:textId="77777777" w:rsidR="00861364" w:rsidRPr="00C902C8" w:rsidRDefault="00861364" w:rsidP="00AF11B1">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of RBI directions or failure to pay the penalty imposed by RBI; and</w:t>
      </w:r>
    </w:p>
    <w:p w14:paraId="7DFE062D" w14:textId="77777777" w:rsidR="00861364" w:rsidRPr="00C902C8" w:rsidRDefault="00861364" w:rsidP="00AF11B1">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order or direction made or given thereunder, in respect of which no penalty has been specified.</w:t>
      </w:r>
    </w:p>
    <w:p w14:paraId="153FECA1" w14:textId="77777777" w:rsidR="00861364" w:rsidRPr="00C902C8" w:rsidRDefault="00861364" w:rsidP="00861364">
      <w:pPr>
        <w:spacing w:after="0" w:line="240" w:lineRule="auto"/>
        <w:jc w:val="both"/>
        <w:rPr>
          <w:rFonts w:ascii="Times New Roman" w:hAnsi="Times New Roman" w:cs="Times New Roman"/>
          <w:sz w:val="24"/>
          <w:szCs w:val="24"/>
        </w:rPr>
      </w:pPr>
    </w:p>
    <w:p w14:paraId="50658EC4"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Powers of RBI to impose fine</w:t>
      </w:r>
    </w:p>
    <w:p w14:paraId="6322CA78" w14:textId="77777777" w:rsidR="00861364" w:rsidRPr="00C902C8" w:rsidRDefault="00861364" w:rsidP="00861364">
      <w:pPr>
        <w:spacing w:after="0" w:line="240" w:lineRule="auto"/>
        <w:jc w:val="both"/>
        <w:rPr>
          <w:rFonts w:ascii="Times New Roman" w:hAnsi="Times New Roman" w:cs="Times New Roman"/>
          <w:sz w:val="24"/>
          <w:szCs w:val="24"/>
        </w:rPr>
      </w:pPr>
    </w:p>
    <w:p w14:paraId="48BE528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 In terms of Section 30 of the PSS Act, RBI is empowered to impose a penalty not exceeding ₹ 5 lakh or twice the amount involved in such contravention or default where such amount is quantifiable, whichever is more, in case of contraventions / defaults of the nature mentioned in Section 26 (2) and 26 (6) of the Act. Further, if such contravention or default is a continuing one, a further penalty up to ₹ 25,000/- for every day after the first during which the contravention or default continues, can be imposed.</w:t>
      </w:r>
    </w:p>
    <w:p w14:paraId="4872002E" w14:textId="77777777" w:rsidR="00861364" w:rsidRPr="00C902C8" w:rsidRDefault="00861364" w:rsidP="00861364">
      <w:pPr>
        <w:spacing w:after="0" w:line="240" w:lineRule="auto"/>
        <w:jc w:val="both"/>
        <w:rPr>
          <w:rFonts w:ascii="Times New Roman" w:hAnsi="Times New Roman" w:cs="Times New Roman"/>
          <w:sz w:val="24"/>
          <w:szCs w:val="24"/>
        </w:rPr>
      </w:pPr>
    </w:p>
    <w:p w14:paraId="587DC272"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3. Powers of RBI to compound offences</w:t>
      </w:r>
    </w:p>
    <w:p w14:paraId="6B99722B" w14:textId="77777777" w:rsidR="00861364" w:rsidRPr="00C902C8" w:rsidRDefault="00861364" w:rsidP="00861364">
      <w:pPr>
        <w:spacing w:after="0" w:line="240" w:lineRule="auto"/>
        <w:jc w:val="both"/>
        <w:rPr>
          <w:rFonts w:ascii="Times New Roman" w:hAnsi="Times New Roman" w:cs="Times New Roman"/>
          <w:sz w:val="24"/>
          <w:szCs w:val="24"/>
        </w:rPr>
      </w:pPr>
    </w:p>
    <w:p w14:paraId="78BDC4E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3.1 Section 31 of PSS Act empowers RBI to compound contraventions of any of the punishable offences under the Act, not being an offence punishable with imprisonment / imprisonment and fine.</w:t>
      </w:r>
    </w:p>
    <w:p w14:paraId="233766FA" w14:textId="77777777" w:rsidR="00861364" w:rsidRPr="00C902C8" w:rsidRDefault="00861364" w:rsidP="00861364">
      <w:pPr>
        <w:spacing w:after="0" w:line="240" w:lineRule="auto"/>
        <w:jc w:val="both"/>
        <w:rPr>
          <w:rFonts w:ascii="Times New Roman" w:hAnsi="Times New Roman" w:cs="Times New Roman"/>
          <w:sz w:val="24"/>
          <w:szCs w:val="24"/>
        </w:rPr>
      </w:pPr>
    </w:p>
    <w:p w14:paraId="1F7639F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With the continuous evolution and increased pace of development of payment landscape in the country, including the entry of non-bank players leveraging the technological developments, and the consequent requirement to ensure safe, secure and efficient payment systems, a need was felt to review the entire process of levy of penalty so as to ensure the efficacy of implementation of various RBI directions and regulations.</w:t>
      </w:r>
    </w:p>
    <w:p w14:paraId="1599CA70" w14:textId="77777777" w:rsidR="00861364" w:rsidRPr="00C902C8" w:rsidRDefault="00861364" w:rsidP="00861364">
      <w:pPr>
        <w:spacing w:after="0" w:line="240" w:lineRule="auto"/>
        <w:jc w:val="both"/>
        <w:rPr>
          <w:rFonts w:ascii="Times New Roman" w:hAnsi="Times New Roman" w:cs="Times New Roman"/>
          <w:sz w:val="24"/>
          <w:szCs w:val="24"/>
        </w:rPr>
      </w:pPr>
    </w:p>
    <w:p w14:paraId="47F7F62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Accordingly, the entire process has been reviewed and a revised framework, as briefed below, is being put in place with immediate effect.</w:t>
      </w:r>
    </w:p>
    <w:p w14:paraId="0EAA998C" w14:textId="77777777" w:rsidR="00861364" w:rsidRPr="00C902C8" w:rsidRDefault="00861364" w:rsidP="00861364">
      <w:pPr>
        <w:spacing w:after="0" w:line="240" w:lineRule="auto"/>
        <w:jc w:val="both"/>
        <w:rPr>
          <w:rFonts w:ascii="Times New Roman" w:hAnsi="Times New Roman" w:cs="Times New Roman"/>
          <w:sz w:val="24"/>
          <w:szCs w:val="24"/>
        </w:rPr>
      </w:pPr>
    </w:p>
    <w:p w14:paraId="41D15ADD"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Principles for imposing monetary penalty / compounding a contravention</w:t>
      </w:r>
    </w:p>
    <w:p w14:paraId="1797A34F" w14:textId="77777777" w:rsidR="00861364" w:rsidRPr="00C902C8" w:rsidRDefault="00861364" w:rsidP="00861364">
      <w:pPr>
        <w:spacing w:after="0" w:line="240" w:lineRule="auto"/>
        <w:jc w:val="both"/>
        <w:rPr>
          <w:rFonts w:ascii="Times New Roman" w:hAnsi="Times New Roman" w:cs="Times New Roman"/>
          <w:sz w:val="24"/>
          <w:szCs w:val="24"/>
        </w:rPr>
      </w:pPr>
    </w:p>
    <w:p w14:paraId="2F60CB1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6.1 Following factors will be considered for determining the materiality of a contravention, whether on account of those identified by RBI or a compounding application from the contravener:</w:t>
      </w:r>
    </w:p>
    <w:p w14:paraId="2F5B1BF3" w14:textId="77777777" w:rsidR="00861364" w:rsidRPr="00C902C8" w:rsidRDefault="00861364" w:rsidP="00861364">
      <w:pPr>
        <w:spacing w:after="0" w:line="240" w:lineRule="auto"/>
        <w:jc w:val="both"/>
        <w:rPr>
          <w:rFonts w:ascii="Times New Roman" w:hAnsi="Times New Roman" w:cs="Times New Roman"/>
          <w:sz w:val="24"/>
          <w:szCs w:val="24"/>
        </w:rPr>
      </w:pPr>
    </w:p>
    <w:p w14:paraId="554C0BC6" w14:textId="77777777" w:rsidR="00861364" w:rsidRPr="00C902C8" w:rsidRDefault="00861364" w:rsidP="00AF11B1">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Severity of contravention in terms of degree of breach of norms/limits (isolated, localised, extensive, widespread);</w:t>
      </w:r>
    </w:p>
    <w:p w14:paraId="616C843E" w14:textId="77777777" w:rsidR="00861364" w:rsidRPr="00C902C8" w:rsidRDefault="00861364" w:rsidP="00AF11B1">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Period and frequency of a similar contravention during the past 5 years;</w:t>
      </w:r>
    </w:p>
    <w:p w14:paraId="1B1A2C25" w14:textId="77777777" w:rsidR="00861364" w:rsidRPr="00C902C8" w:rsidRDefault="00861364" w:rsidP="00AF11B1">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Seriousness of the contravention; Percentage of amount involved in the contravention vis-à-vis total value of transactions handled by the contravener during the period under consideration;</w:t>
      </w:r>
    </w:p>
    <w:p w14:paraId="561C5750" w14:textId="77777777" w:rsidR="00861364" w:rsidRPr="00C902C8" w:rsidRDefault="00861364" w:rsidP="00AF11B1">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involved in the contravention; and</w:t>
      </w:r>
    </w:p>
    <w:p w14:paraId="184E8A08" w14:textId="77777777" w:rsidR="00861364" w:rsidRPr="00C902C8" w:rsidRDefault="00861364" w:rsidP="00AF11B1">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wrong / false / incomplete compliance.</w:t>
      </w:r>
    </w:p>
    <w:p w14:paraId="181212F3" w14:textId="77777777" w:rsidR="00861364" w:rsidRPr="00C902C8" w:rsidRDefault="00861364" w:rsidP="00861364">
      <w:pPr>
        <w:spacing w:after="0" w:line="240" w:lineRule="auto"/>
        <w:jc w:val="both"/>
        <w:rPr>
          <w:rFonts w:ascii="Times New Roman" w:hAnsi="Times New Roman" w:cs="Times New Roman"/>
          <w:sz w:val="24"/>
          <w:szCs w:val="24"/>
        </w:rPr>
      </w:pPr>
    </w:p>
    <w:p w14:paraId="086DB70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6.2 Following factors will be considered for determining the amount of monetary penalty to be imposed on any entity, resulting from 6.1 above:</w:t>
      </w:r>
    </w:p>
    <w:p w14:paraId="7413CE66" w14:textId="77777777" w:rsidR="00861364" w:rsidRPr="00C902C8" w:rsidRDefault="00861364" w:rsidP="00861364">
      <w:pPr>
        <w:spacing w:after="0" w:line="240" w:lineRule="auto"/>
        <w:jc w:val="both"/>
        <w:rPr>
          <w:rFonts w:ascii="Times New Roman" w:hAnsi="Times New Roman" w:cs="Times New Roman"/>
          <w:sz w:val="24"/>
          <w:szCs w:val="24"/>
        </w:rPr>
      </w:pPr>
    </w:p>
    <w:p w14:paraId="36E2221B" w14:textId="77777777" w:rsidR="00861364" w:rsidRPr="00C902C8" w:rsidRDefault="00861364" w:rsidP="00AF11B1">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gain or unfair advantage, wherever quantifiable, accruing to the contravener as a result of the contravention;</w:t>
      </w:r>
    </w:p>
    <w:p w14:paraId="1C4333D0" w14:textId="77777777" w:rsidR="00861364" w:rsidRPr="00C902C8" w:rsidRDefault="00861364" w:rsidP="00AF11B1">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loss caused to any other authority / agency / exchequer and / or to any other market participant;</w:t>
      </w:r>
    </w:p>
    <w:p w14:paraId="59276969" w14:textId="77777777" w:rsidR="00861364" w:rsidRPr="00C902C8" w:rsidRDefault="00861364" w:rsidP="00AF11B1">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Monetary benefits accruing to the contravener from delayed / non-compliance;</w:t>
      </w:r>
    </w:p>
    <w:p w14:paraId="5803B97C" w14:textId="77777777" w:rsidR="00861364" w:rsidRPr="00C902C8" w:rsidRDefault="00861364" w:rsidP="00861364">
      <w:pPr>
        <w:spacing w:after="0" w:line="240" w:lineRule="auto"/>
        <w:jc w:val="both"/>
        <w:rPr>
          <w:rFonts w:ascii="Times New Roman" w:hAnsi="Times New Roman" w:cs="Times New Roman"/>
          <w:sz w:val="24"/>
          <w:szCs w:val="24"/>
        </w:rPr>
      </w:pPr>
    </w:p>
    <w:p w14:paraId="21EFA9CF"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7. Imposition of monetary penalty for RBI identified contraventions</w:t>
      </w:r>
    </w:p>
    <w:p w14:paraId="025222ED" w14:textId="77777777" w:rsidR="00861364" w:rsidRPr="00C902C8" w:rsidRDefault="00861364" w:rsidP="00861364">
      <w:pPr>
        <w:spacing w:after="0" w:line="240" w:lineRule="auto"/>
        <w:jc w:val="both"/>
        <w:rPr>
          <w:rFonts w:ascii="Times New Roman" w:hAnsi="Times New Roman" w:cs="Times New Roman"/>
          <w:sz w:val="24"/>
          <w:szCs w:val="24"/>
        </w:rPr>
      </w:pPr>
    </w:p>
    <w:p w14:paraId="24127E78"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is as under:</w:t>
      </w:r>
    </w:p>
    <w:p w14:paraId="748A870D" w14:textId="77777777" w:rsidR="00861364" w:rsidRPr="00C902C8" w:rsidRDefault="00861364" w:rsidP="00861364">
      <w:pPr>
        <w:spacing w:after="0" w:line="240" w:lineRule="auto"/>
        <w:jc w:val="both"/>
        <w:rPr>
          <w:rFonts w:ascii="Times New Roman" w:hAnsi="Times New Roman" w:cs="Times New Roman"/>
          <w:sz w:val="24"/>
          <w:szCs w:val="24"/>
        </w:rPr>
      </w:pPr>
    </w:p>
    <w:p w14:paraId="016BFD2E"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of a material statement to RBI;</w:t>
      </w:r>
    </w:p>
    <w:p w14:paraId="26DC8024"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w:t>
      </w:r>
    </w:p>
    <w:p w14:paraId="742CA1EB"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directions / instructions made thereunder;</w:t>
      </w:r>
    </w:p>
    <w:p w14:paraId="6F4CAC97"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Issues in maintenance of net worth requirements, etc.</w:t>
      </w:r>
    </w:p>
    <w:p w14:paraId="6B861AF5"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with Know Your Customer (KYC) and Anti-Money Laundering (AML) norms;</w:t>
      </w:r>
    </w:p>
    <w:p w14:paraId="12C51DD2"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 / escrow accounts;</w:t>
      </w:r>
    </w:p>
    <w:p w14:paraId="2F15BBA9"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6FCD08F9"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27DE3CB5" w14:textId="77777777" w:rsidR="00861364" w:rsidRPr="00C902C8" w:rsidRDefault="00861364" w:rsidP="00AF11B1">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13CBB629" w14:textId="77777777" w:rsidR="00861364" w:rsidRPr="00C902C8" w:rsidRDefault="00861364" w:rsidP="00861364">
      <w:pPr>
        <w:spacing w:after="0" w:line="240" w:lineRule="auto"/>
        <w:jc w:val="both"/>
        <w:rPr>
          <w:rFonts w:ascii="Times New Roman" w:hAnsi="Times New Roman" w:cs="Times New Roman"/>
          <w:sz w:val="24"/>
          <w:szCs w:val="24"/>
        </w:rPr>
      </w:pPr>
    </w:p>
    <w:p w14:paraId="09180489"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 Designated authority to impose penalty</w:t>
      </w:r>
    </w:p>
    <w:p w14:paraId="7972B3BD" w14:textId="77777777" w:rsidR="00861364" w:rsidRPr="00C902C8" w:rsidRDefault="00861364" w:rsidP="00861364">
      <w:pPr>
        <w:spacing w:after="0" w:line="240" w:lineRule="auto"/>
        <w:jc w:val="both"/>
        <w:rPr>
          <w:rFonts w:ascii="Times New Roman" w:hAnsi="Times New Roman" w:cs="Times New Roman"/>
          <w:sz w:val="24"/>
          <w:szCs w:val="24"/>
        </w:rPr>
      </w:pPr>
    </w:p>
    <w:p w14:paraId="40664DCD" w14:textId="77777777" w:rsidR="00861364" w:rsidRPr="00C902C8" w:rsidRDefault="00861364" w:rsidP="00AF11B1">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quantifiable contraventions, a Committee of Senior Officers, comprising of the Chief General Manager / Officer-in-Charge, Department of Payment and Settlement Systems (DPSS), Central Office and senior officers from two other Departments of RBI, shall be the designated authority.</w:t>
      </w:r>
    </w:p>
    <w:p w14:paraId="2FC379EE" w14:textId="77777777" w:rsidR="00861364" w:rsidRPr="00C902C8" w:rsidRDefault="00861364" w:rsidP="00AF11B1">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non-quantifiable contraventions, a Committee, comprising of ED in-Charge of DPSS and Chief General Managers from two other Departments of RBI (Committee of CGMs), shall be the designated authority.</w:t>
      </w:r>
    </w:p>
    <w:p w14:paraId="79296BBC" w14:textId="77777777" w:rsidR="00861364" w:rsidRPr="00C902C8" w:rsidRDefault="00861364" w:rsidP="00AF11B1">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For contraventions, partly quantifiable and partly non-quantifiable, the Committee of CGMs shall be the designated authority.</w:t>
      </w:r>
    </w:p>
    <w:p w14:paraId="4517080D" w14:textId="77777777" w:rsidR="00861364" w:rsidRPr="00C902C8" w:rsidRDefault="00861364" w:rsidP="00861364">
      <w:pPr>
        <w:spacing w:after="0" w:line="240" w:lineRule="auto"/>
        <w:jc w:val="both"/>
        <w:rPr>
          <w:rFonts w:ascii="Times New Roman" w:hAnsi="Times New Roman" w:cs="Times New Roman"/>
          <w:sz w:val="24"/>
          <w:szCs w:val="24"/>
        </w:rPr>
      </w:pPr>
    </w:p>
    <w:p w14:paraId="1F9CC533"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Procedure for imposing penalty</w:t>
      </w:r>
    </w:p>
    <w:p w14:paraId="5C45ED46" w14:textId="77777777" w:rsidR="00861364" w:rsidRPr="00C902C8" w:rsidRDefault="00861364" w:rsidP="00861364">
      <w:pPr>
        <w:spacing w:after="0" w:line="240" w:lineRule="auto"/>
        <w:jc w:val="both"/>
        <w:rPr>
          <w:rFonts w:ascii="Times New Roman" w:hAnsi="Times New Roman" w:cs="Times New Roman"/>
          <w:sz w:val="24"/>
          <w:szCs w:val="24"/>
          <w:u w:val="single"/>
        </w:rPr>
      </w:pPr>
    </w:p>
    <w:p w14:paraId="01AC75AB" w14:textId="77777777" w:rsidR="00861364" w:rsidRPr="00C902C8" w:rsidRDefault="00861364" w:rsidP="00AF11B1">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Call for information</w:t>
      </w:r>
      <w:r w:rsidRPr="00C902C8">
        <w:rPr>
          <w:rFonts w:ascii="Times New Roman" w:hAnsi="Times New Roman" w:cs="Times New Roman"/>
          <w:sz w:val="24"/>
          <w:szCs w:val="24"/>
        </w:rPr>
        <w:t>: On receipt of information on a contravention, RBI may call for additional information from the contravener.</w:t>
      </w:r>
    </w:p>
    <w:p w14:paraId="502ACF6D" w14:textId="77777777" w:rsidR="00861364" w:rsidRPr="00C902C8" w:rsidRDefault="00861364" w:rsidP="00AF11B1">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Explanation Letter</w:t>
      </w:r>
      <w:r w:rsidRPr="00C902C8">
        <w:rPr>
          <w:rFonts w:ascii="Times New Roman" w:hAnsi="Times New Roman" w:cs="Times New Roman"/>
          <w:sz w:val="24"/>
          <w:szCs w:val="24"/>
        </w:rPr>
        <w:t>: On identification of a contravention, a letter calling for explanation would be issued to the contravener.</w:t>
      </w:r>
    </w:p>
    <w:p w14:paraId="15646C2F" w14:textId="77777777" w:rsidR="00861364" w:rsidRPr="00C902C8" w:rsidRDefault="00861364" w:rsidP="00AF11B1">
      <w:pPr>
        <w:pStyle w:val="ListParagraph"/>
        <w:numPr>
          <w:ilvl w:val="0"/>
          <w:numId w:val="10"/>
        </w:num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Issue of Show Cause Notice (SCN):</w:t>
      </w:r>
    </w:p>
    <w:p w14:paraId="4896FA8D" w14:textId="77777777" w:rsidR="00861364" w:rsidRPr="00C902C8" w:rsidRDefault="00861364" w:rsidP="00AF11B1">
      <w:pPr>
        <w:pStyle w:val="ListParagraph"/>
        <w:numPr>
          <w:ilvl w:val="0"/>
          <w:numId w:val="11"/>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If the RBI is not satisfied with the reasons / explanations furnished by the contravener, an SCN may be issued based on the parameters mentioned in para 6.1 above, advising the contravener to show cause as to why the amount specified in the notice should not be imposed as penalty. For the purpose, a matrix has been formulated to derive a weighted score based on certain parameters.</w:t>
      </w:r>
    </w:p>
    <w:p w14:paraId="6316C4E5" w14:textId="77777777" w:rsidR="00861364" w:rsidRPr="00C902C8" w:rsidRDefault="00861364" w:rsidP="00AF11B1">
      <w:pPr>
        <w:pStyle w:val="ListParagraph"/>
        <w:numPr>
          <w:ilvl w:val="0"/>
          <w:numId w:val="11"/>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In cases where a contravener has already been issued with more than one Cautionary / Warning / Displeasure letters for a particular type of contravention by RBI on earlier occasions of contraventions during the last 5 years, an SCN shall be issued on the subsequent occasion/s irrespective of the overall weighted score arrived at.</w:t>
      </w:r>
    </w:p>
    <w:p w14:paraId="7B8C5E94" w14:textId="77777777" w:rsidR="00861364" w:rsidRPr="00C902C8" w:rsidRDefault="00861364" w:rsidP="00AF11B1">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Personal Hearing</w:t>
      </w:r>
      <w:r w:rsidRPr="00C902C8">
        <w:rPr>
          <w:rFonts w:ascii="Times New Roman" w:hAnsi="Times New Roman" w:cs="Times New Roman"/>
          <w:sz w:val="24"/>
          <w:szCs w:val="24"/>
        </w:rPr>
        <w:t>: The contravener shall be provided with a reasonable opportunity of being heard, if requested by the contravener in reply to the SCN.</w:t>
      </w:r>
    </w:p>
    <w:p w14:paraId="5315485A" w14:textId="77777777" w:rsidR="00861364" w:rsidRPr="00C902C8" w:rsidRDefault="00861364" w:rsidP="00AF11B1">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Speaking Order</w:t>
      </w:r>
      <w:r w:rsidRPr="00C902C8">
        <w:rPr>
          <w:rFonts w:ascii="Times New Roman" w:hAnsi="Times New Roman" w:cs="Times New Roman"/>
          <w:sz w:val="24"/>
          <w:szCs w:val="24"/>
        </w:rPr>
        <w:t>: The Designated Authority shall pass a Speaking Order based on the information and supportive documents presented by the contravener and also the submissions made in this connection by them during the personal hearing.</w:t>
      </w:r>
    </w:p>
    <w:p w14:paraId="728596CF" w14:textId="77777777" w:rsidR="00861364" w:rsidRPr="00C902C8" w:rsidRDefault="00861364" w:rsidP="00861364">
      <w:pPr>
        <w:spacing w:after="0" w:line="240" w:lineRule="auto"/>
        <w:jc w:val="both"/>
        <w:rPr>
          <w:rFonts w:ascii="Times New Roman" w:hAnsi="Times New Roman" w:cs="Times New Roman"/>
          <w:sz w:val="24"/>
          <w:szCs w:val="24"/>
        </w:rPr>
      </w:pPr>
    </w:p>
    <w:p w14:paraId="09F7758B"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Amount of monetary penalty:</w:t>
      </w:r>
    </w:p>
    <w:p w14:paraId="75651029" w14:textId="77777777" w:rsidR="00861364" w:rsidRPr="00C902C8" w:rsidRDefault="00861364" w:rsidP="00861364">
      <w:pPr>
        <w:spacing w:after="0" w:line="240" w:lineRule="auto"/>
        <w:jc w:val="both"/>
        <w:rPr>
          <w:rFonts w:ascii="Times New Roman" w:hAnsi="Times New Roman" w:cs="Times New Roman"/>
          <w:sz w:val="24"/>
          <w:szCs w:val="24"/>
        </w:rPr>
      </w:pPr>
    </w:p>
    <w:p w14:paraId="4129FDB7" w14:textId="77777777" w:rsidR="00861364" w:rsidRPr="00C902C8" w:rsidRDefault="00861364" w:rsidP="00AF11B1">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may vary depending on impact on account of various factors.</w:t>
      </w:r>
    </w:p>
    <w:p w14:paraId="02F72309" w14:textId="77777777" w:rsidR="00861364" w:rsidRPr="00C902C8" w:rsidRDefault="00861364" w:rsidP="00AF11B1">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for a contravention shall not exceed ₹ 5 lakh or double the amount of contravention, whichever is higher, where such amount is quantifiable. For non-quantifiable contravention, the maximum penalty shall be ₹ 5 lakh per contravention.</w:t>
      </w:r>
    </w:p>
    <w:p w14:paraId="5E07C3AB" w14:textId="77777777" w:rsidR="00861364" w:rsidRPr="00C902C8" w:rsidRDefault="00861364" w:rsidP="00AF11B1">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 Matrix has been formulated for determining the amount of penalty. The actual amount may vary depending on the circumstances of the cases.</w:t>
      </w:r>
    </w:p>
    <w:p w14:paraId="6AEA6830" w14:textId="77777777" w:rsidR="00861364" w:rsidRPr="00C902C8" w:rsidRDefault="00861364" w:rsidP="00AF11B1">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penalty, after considering the mitigating factors, may differ depending upon the extent of overall weighted score, as given in Appendix 1. In case where the amount of resultant penalty may affect the viability of the contravener or otherwise disproportionate or unfair, or even where neither the extent of impact nor the intent of committing the contravention is clearly established, the designated authority may exercise its discretionary power and take a fair view to either reduce or impose an appropriate amount of penalty, subject to statutory limits.</w:t>
      </w:r>
    </w:p>
    <w:p w14:paraId="3DABEDF4" w14:textId="77777777" w:rsidR="00861364" w:rsidRPr="00C902C8" w:rsidRDefault="00861364" w:rsidP="00861364">
      <w:pPr>
        <w:spacing w:after="0" w:line="240" w:lineRule="auto"/>
        <w:jc w:val="both"/>
        <w:rPr>
          <w:rFonts w:ascii="Times New Roman" w:hAnsi="Times New Roman" w:cs="Times New Roman"/>
          <w:sz w:val="24"/>
          <w:szCs w:val="24"/>
        </w:rPr>
      </w:pPr>
    </w:p>
    <w:p w14:paraId="07D46E81"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Payment of monetary penalty:</w:t>
      </w:r>
    </w:p>
    <w:p w14:paraId="7B9FFB90" w14:textId="77777777" w:rsidR="00861364" w:rsidRPr="00C902C8" w:rsidRDefault="00861364" w:rsidP="00861364">
      <w:pPr>
        <w:spacing w:after="0" w:line="240" w:lineRule="auto"/>
        <w:jc w:val="both"/>
        <w:rPr>
          <w:rFonts w:ascii="Times New Roman" w:hAnsi="Times New Roman" w:cs="Times New Roman"/>
          <w:sz w:val="24"/>
          <w:szCs w:val="24"/>
        </w:rPr>
      </w:pPr>
    </w:p>
    <w:p w14:paraId="4382C610" w14:textId="77777777" w:rsidR="00861364" w:rsidRPr="00C902C8" w:rsidRDefault="00861364" w:rsidP="00AF11B1">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monetary penalty shall be payable within a period of thirty days from the date of the order.</w:t>
      </w:r>
    </w:p>
    <w:p w14:paraId="0AF52C4E" w14:textId="77777777" w:rsidR="00861364" w:rsidRPr="00C902C8" w:rsidRDefault="00861364" w:rsidP="00AF11B1">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in payment of penalty amount, RBI will initiate appropriate action against the contravener as per Section 8 or Section 30 (3) or Section 33 of PSS Act.</w:t>
      </w:r>
    </w:p>
    <w:p w14:paraId="7AB173AA" w14:textId="77777777" w:rsidR="00861364" w:rsidRPr="00C902C8" w:rsidRDefault="00861364" w:rsidP="00861364">
      <w:pPr>
        <w:spacing w:after="0" w:line="240" w:lineRule="auto"/>
        <w:jc w:val="both"/>
        <w:rPr>
          <w:rFonts w:ascii="Times New Roman" w:hAnsi="Times New Roman" w:cs="Times New Roman"/>
          <w:sz w:val="24"/>
          <w:szCs w:val="24"/>
        </w:rPr>
      </w:pPr>
    </w:p>
    <w:p w14:paraId="04AF3DF8"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Disclosure:</w:t>
      </w:r>
    </w:p>
    <w:p w14:paraId="51E8F449" w14:textId="77777777" w:rsidR="00861364" w:rsidRPr="00C902C8" w:rsidRDefault="00861364" w:rsidP="00861364">
      <w:pPr>
        <w:spacing w:after="0" w:line="240" w:lineRule="auto"/>
        <w:jc w:val="both"/>
        <w:rPr>
          <w:rFonts w:ascii="Times New Roman" w:hAnsi="Times New Roman" w:cs="Times New Roman"/>
          <w:sz w:val="24"/>
          <w:szCs w:val="24"/>
        </w:rPr>
      </w:pPr>
    </w:p>
    <w:p w14:paraId="70F08044" w14:textId="77777777" w:rsidR="00861364" w:rsidRPr="00C902C8" w:rsidRDefault="00861364" w:rsidP="00AF11B1">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entities shall disclose the details of monetary penalty paid in their Notes to Accounts that are part of Annual Financial Statements for the financial year in which the penalty is levied.</w:t>
      </w:r>
    </w:p>
    <w:p w14:paraId="5575922F" w14:textId="77777777" w:rsidR="00861364" w:rsidRPr="00C902C8" w:rsidRDefault="00861364" w:rsidP="00AF11B1">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 shall disclose the penalty levied on its website.</w:t>
      </w:r>
    </w:p>
    <w:p w14:paraId="1A75FB0E" w14:textId="77777777" w:rsidR="00861364" w:rsidRPr="00C902C8" w:rsidRDefault="00861364" w:rsidP="00861364">
      <w:pPr>
        <w:spacing w:after="0" w:line="240" w:lineRule="auto"/>
        <w:jc w:val="both"/>
        <w:rPr>
          <w:rFonts w:ascii="Times New Roman" w:hAnsi="Times New Roman" w:cs="Times New Roman"/>
          <w:sz w:val="24"/>
          <w:szCs w:val="24"/>
        </w:rPr>
      </w:pPr>
    </w:p>
    <w:p w14:paraId="3B2D03BB"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8. Compounding of contraventions</w:t>
      </w:r>
    </w:p>
    <w:p w14:paraId="48F4E6E3" w14:textId="77777777" w:rsidR="00861364" w:rsidRPr="00C902C8" w:rsidRDefault="00861364" w:rsidP="00861364">
      <w:pPr>
        <w:spacing w:after="0" w:line="240" w:lineRule="auto"/>
        <w:jc w:val="both"/>
        <w:rPr>
          <w:rFonts w:ascii="Times New Roman" w:hAnsi="Times New Roman" w:cs="Times New Roman"/>
          <w:sz w:val="24"/>
          <w:szCs w:val="24"/>
        </w:rPr>
      </w:pPr>
    </w:p>
    <w:p w14:paraId="764A7704"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for compounding, is as under:</w:t>
      </w:r>
    </w:p>
    <w:p w14:paraId="21C4CB84" w14:textId="77777777" w:rsidR="00861364" w:rsidRPr="00C902C8" w:rsidRDefault="00861364" w:rsidP="00861364">
      <w:pPr>
        <w:spacing w:after="0" w:line="240" w:lineRule="auto"/>
        <w:jc w:val="both"/>
        <w:rPr>
          <w:rFonts w:ascii="Times New Roman" w:hAnsi="Times New Roman" w:cs="Times New Roman"/>
          <w:sz w:val="24"/>
          <w:szCs w:val="24"/>
        </w:rPr>
      </w:pPr>
    </w:p>
    <w:p w14:paraId="15C0528F"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of authorisation issued by RBI;</w:t>
      </w:r>
    </w:p>
    <w:p w14:paraId="0E2BF5FE"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 furnish any statement, information, returns or other documents to RBI or answer any question relating to the operation of payment system;</w:t>
      </w:r>
    </w:p>
    <w:p w14:paraId="4788D409"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information prohibited under Section 22 of PSS Act;</w:t>
      </w:r>
    </w:p>
    <w:p w14:paraId="673B310A"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 contravention of any provisions of the Act / Regulation / order / directions made or given in respect of which no penalty has been specified in the Act;</w:t>
      </w:r>
    </w:p>
    <w:p w14:paraId="64D52951"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Violations of KYC / AML norms;</w:t>
      </w:r>
    </w:p>
    <w:p w14:paraId="609EFCB6"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 (other than an act punishable under sub-section 2 of Section 26)</w:t>
      </w:r>
    </w:p>
    <w:p w14:paraId="4E51CEB9"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nodal/escrow accounts;</w:t>
      </w:r>
    </w:p>
    <w:p w14:paraId="33746BAB"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14535E82"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5D5D5D78" w14:textId="77777777" w:rsidR="00861364" w:rsidRPr="00C902C8" w:rsidRDefault="00861364" w:rsidP="00AF11B1">
      <w:pPr>
        <w:pStyle w:val="ListParagraph"/>
        <w:numPr>
          <w:ilvl w:val="0"/>
          <w:numId w:val="1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61D79FEE" w14:textId="77777777" w:rsidR="00861364" w:rsidRPr="00C902C8" w:rsidRDefault="00861364" w:rsidP="00861364">
      <w:pPr>
        <w:spacing w:after="0" w:line="240" w:lineRule="auto"/>
        <w:jc w:val="both"/>
        <w:rPr>
          <w:rFonts w:ascii="Times New Roman" w:hAnsi="Times New Roman" w:cs="Times New Roman"/>
          <w:sz w:val="24"/>
          <w:szCs w:val="24"/>
        </w:rPr>
      </w:pPr>
    </w:p>
    <w:p w14:paraId="281F576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(ii) Compounding Authority</w:t>
      </w:r>
      <w:r w:rsidRPr="00C902C8">
        <w:rPr>
          <w:rFonts w:ascii="Times New Roman" w:hAnsi="Times New Roman" w:cs="Times New Roman"/>
          <w:sz w:val="24"/>
          <w:szCs w:val="24"/>
        </w:rPr>
        <w:t xml:space="preserve"> – The CGM / Officer-in-charge, DPSS, Central Office will be the Compounding Authority for cases of compounding involving quantifiable contraventions, and ED-in-charge of DPSS will be the Compounding Authority for compounding cases involving non-quantifiable contraventions.</w:t>
      </w:r>
    </w:p>
    <w:p w14:paraId="55692AD7" w14:textId="77777777" w:rsidR="00861364" w:rsidRPr="00C902C8" w:rsidRDefault="00861364" w:rsidP="00861364">
      <w:pPr>
        <w:spacing w:after="0" w:line="240" w:lineRule="auto"/>
        <w:jc w:val="both"/>
        <w:rPr>
          <w:rFonts w:ascii="Times New Roman" w:hAnsi="Times New Roman" w:cs="Times New Roman"/>
          <w:sz w:val="24"/>
          <w:szCs w:val="24"/>
        </w:rPr>
      </w:pPr>
    </w:p>
    <w:p w14:paraId="3E9D4FD3"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Eligibility for compounding:</w:t>
      </w:r>
    </w:p>
    <w:p w14:paraId="340C23B3" w14:textId="77777777" w:rsidR="00861364" w:rsidRPr="00C902C8" w:rsidRDefault="00861364" w:rsidP="00861364">
      <w:pPr>
        <w:spacing w:after="0" w:line="240" w:lineRule="auto"/>
        <w:jc w:val="both"/>
        <w:rPr>
          <w:rFonts w:ascii="Times New Roman" w:hAnsi="Times New Roman" w:cs="Times New Roman"/>
          <w:sz w:val="24"/>
          <w:szCs w:val="24"/>
        </w:rPr>
      </w:pPr>
    </w:p>
    <w:p w14:paraId="50C25FE5" w14:textId="77777777" w:rsidR="00861364" w:rsidRPr="00C902C8" w:rsidRDefault="00861364" w:rsidP="00AF11B1">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contraventions (quantifiable or non-quantifiable) of the nature of offences mentioned in Section 26 (1), (3), (4), (5) and (6) of PSS Act, 2007, are liable to be compounded.</w:t>
      </w:r>
    </w:p>
    <w:p w14:paraId="4BE5B42D" w14:textId="77777777" w:rsidR="00861364" w:rsidRPr="00C902C8" w:rsidRDefault="00861364" w:rsidP="00AF11B1">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cases which involve money laundering, terror financing or affect sovereignty and integrity of nation, shall not be compounded by RBI.</w:t>
      </w:r>
    </w:p>
    <w:p w14:paraId="463DEFF9" w14:textId="77777777" w:rsidR="00861364" w:rsidRPr="00C902C8" w:rsidRDefault="00861364" w:rsidP="00AF11B1">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applications submitted for compounding of eligible contraventions shall be accepted by RBI even if the same is pending before any court of law (on the basis of complaint filed by RBI).</w:t>
      </w:r>
    </w:p>
    <w:p w14:paraId="512C0430" w14:textId="77777777" w:rsidR="00861364" w:rsidRPr="00C902C8" w:rsidRDefault="00861364" w:rsidP="00AF11B1">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Where a contravention has been compounded by RBI, no proceeding or further proceeding shall be initiated or continued, as the case may be, against the person committing such contravention, in respect of the contravention so compounded.</w:t>
      </w:r>
    </w:p>
    <w:p w14:paraId="20A99263" w14:textId="77777777" w:rsidR="00861364" w:rsidRPr="00C902C8" w:rsidRDefault="00861364" w:rsidP="00861364">
      <w:pPr>
        <w:spacing w:after="0" w:line="240" w:lineRule="auto"/>
        <w:jc w:val="both"/>
        <w:rPr>
          <w:rFonts w:ascii="Times New Roman" w:hAnsi="Times New Roman" w:cs="Times New Roman"/>
          <w:sz w:val="24"/>
          <w:szCs w:val="24"/>
        </w:rPr>
      </w:pPr>
    </w:p>
    <w:p w14:paraId="2461977D"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Procedure for compounding:</w:t>
      </w:r>
    </w:p>
    <w:p w14:paraId="4EFD60BD" w14:textId="77777777" w:rsidR="00861364" w:rsidRPr="00C902C8" w:rsidRDefault="00861364" w:rsidP="00861364">
      <w:pPr>
        <w:spacing w:after="0" w:line="240" w:lineRule="auto"/>
        <w:jc w:val="both"/>
        <w:rPr>
          <w:rFonts w:ascii="Times New Roman" w:hAnsi="Times New Roman" w:cs="Times New Roman"/>
          <w:sz w:val="24"/>
          <w:szCs w:val="24"/>
        </w:rPr>
      </w:pPr>
    </w:p>
    <w:p w14:paraId="697513B1" w14:textId="77777777" w:rsidR="00861364" w:rsidRPr="00C902C8" w:rsidRDefault="00861364" w:rsidP="00AF11B1">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compounding application: A contravener wishing to seek compounding of eligible contraventions, shall submit an application, along with information relating to facts and circumstances resulting in commission of contravention, a copy of Memorandum and Articles of Association and latest audited balance sheet, in the prescribed format (Appendix 2) to the Chief General Manager, Department of Payment and Settlement Systems, Reserve Bank of India, Central Office, Mumbai. He / she shall also give an undertaking that they are not under any enquiry / investigation / adjudication by any Law Enforcement Agency, such as Directorate of Enforcement, Directorate of Revenue Intelligence, Central Bureau of Investigation, etc.</w:t>
      </w:r>
    </w:p>
    <w:p w14:paraId="4B814FC2" w14:textId="77777777" w:rsidR="00861364" w:rsidRPr="00C902C8" w:rsidRDefault="00861364" w:rsidP="00AF11B1">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Examination of Compounding Application: On receipt of the application for compounding, the same shall be examined by RBI and taken up for compounding process.</w:t>
      </w:r>
    </w:p>
    <w:p w14:paraId="3ADD92E1" w14:textId="77777777" w:rsidR="00861364" w:rsidRPr="00C902C8" w:rsidRDefault="00861364" w:rsidP="00AF11B1">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Call for information: The RBI may call for any information, record or any other documents relevant to the contravention.</w:t>
      </w:r>
    </w:p>
    <w:p w14:paraId="61588D90" w14:textId="77777777" w:rsidR="00861364" w:rsidRPr="00C902C8" w:rsidRDefault="00861364" w:rsidP="00AF11B1">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Personal Hearing: The contravener shall be provided with a reasonable opportunity of being heard by the respective Compounding Authority irrespective of whether the contravener has opted for the same.</w:t>
      </w:r>
    </w:p>
    <w:p w14:paraId="1D3BC6A0" w14:textId="77777777" w:rsidR="00861364" w:rsidRPr="00C902C8" w:rsidRDefault="00861364" w:rsidP="00AF11B1">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 of Compounding Order: The Compounding Authority shall pass an order in the compounding application as expeditiously as possible, but not later than a period of 6 months from the date of receipt of the complete Compounding Application.</w:t>
      </w:r>
    </w:p>
    <w:p w14:paraId="193F9E87" w14:textId="77777777" w:rsidR="00861364" w:rsidRPr="00C902C8" w:rsidRDefault="00861364" w:rsidP="00861364">
      <w:pPr>
        <w:spacing w:after="0" w:line="240" w:lineRule="auto"/>
        <w:jc w:val="both"/>
        <w:rPr>
          <w:rFonts w:ascii="Times New Roman" w:hAnsi="Times New Roman" w:cs="Times New Roman"/>
          <w:sz w:val="24"/>
          <w:szCs w:val="24"/>
        </w:rPr>
      </w:pPr>
    </w:p>
    <w:p w14:paraId="38B14F93"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Compounding Amount:</w:t>
      </w:r>
    </w:p>
    <w:p w14:paraId="05468C87" w14:textId="77777777" w:rsidR="00861364" w:rsidRPr="00C902C8" w:rsidRDefault="00861364" w:rsidP="00861364">
      <w:pPr>
        <w:spacing w:after="0" w:line="240" w:lineRule="auto"/>
        <w:jc w:val="both"/>
        <w:rPr>
          <w:rFonts w:ascii="Times New Roman" w:hAnsi="Times New Roman" w:cs="Times New Roman"/>
          <w:sz w:val="24"/>
          <w:szCs w:val="24"/>
        </w:rPr>
      </w:pPr>
    </w:p>
    <w:p w14:paraId="7E89CD83" w14:textId="77777777" w:rsidR="00861364" w:rsidRPr="00C902C8" w:rsidRDefault="00861364" w:rsidP="00AF11B1">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basis for calculation of compounding amount will be the same as for penalties (as prescribed in Appendix 1).</w:t>
      </w:r>
    </w:p>
    <w:p w14:paraId="079E1CD2" w14:textId="77777777" w:rsidR="00861364" w:rsidRPr="00C902C8" w:rsidRDefault="00861364" w:rsidP="00AF11B1">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may be 25% less than the calculated amount (as per Appendix 1) that would have otherwise been imposed under Section 30 of the Act.</w:t>
      </w:r>
    </w:p>
    <w:p w14:paraId="57C44C13" w14:textId="77777777" w:rsidR="00861364" w:rsidRPr="00C902C8" w:rsidRDefault="00861364" w:rsidP="00AF11B1">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shall not exceed ₹ 5 lakh or double the amount of contravention, whichever is higher, in case of quantifiable contraventions, whereas in respect of non-quantifiable contraventions it shall not exceed ₹ 5 lakh.</w:t>
      </w:r>
    </w:p>
    <w:p w14:paraId="20A7600D" w14:textId="77777777" w:rsidR="00861364" w:rsidRPr="00C902C8" w:rsidRDefault="00861364" w:rsidP="00AF11B1">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repeated contraventions (within a period of 5 years) in respect of which compounding has been done on earlier occasion, the compounding amount may be increased by 50 per cent of the calculated amount (as per Appendix 1).</w:t>
      </w:r>
    </w:p>
    <w:p w14:paraId="501CA2D2" w14:textId="77777777" w:rsidR="00861364" w:rsidRPr="00C902C8" w:rsidRDefault="00861364" w:rsidP="00861364">
      <w:pPr>
        <w:spacing w:after="0" w:line="240" w:lineRule="auto"/>
        <w:jc w:val="both"/>
        <w:rPr>
          <w:rFonts w:ascii="Times New Roman" w:hAnsi="Times New Roman" w:cs="Times New Roman"/>
          <w:sz w:val="24"/>
          <w:szCs w:val="24"/>
        </w:rPr>
      </w:pPr>
    </w:p>
    <w:p w14:paraId="759F32CB"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Payment of compounding amount:</w:t>
      </w:r>
    </w:p>
    <w:p w14:paraId="776C9426" w14:textId="77777777" w:rsidR="00861364" w:rsidRPr="00C902C8" w:rsidRDefault="00861364" w:rsidP="00861364">
      <w:pPr>
        <w:spacing w:after="0" w:line="240" w:lineRule="auto"/>
        <w:jc w:val="both"/>
        <w:rPr>
          <w:rFonts w:ascii="Times New Roman" w:hAnsi="Times New Roman" w:cs="Times New Roman"/>
          <w:sz w:val="24"/>
          <w:szCs w:val="24"/>
        </w:rPr>
      </w:pPr>
    </w:p>
    <w:p w14:paraId="1B7C6021" w14:textId="77777777" w:rsidR="00861364" w:rsidRPr="00C902C8" w:rsidRDefault="00861364" w:rsidP="00AF11B1">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The amount specified in the Order of Compounding shall be paid within a period of 30 days from the date of the Order.</w:t>
      </w:r>
    </w:p>
    <w:p w14:paraId="0D80A23D" w14:textId="77777777" w:rsidR="00861364" w:rsidRPr="00C902C8" w:rsidRDefault="00861364" w:rsidP="00AF11B1">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to pay the compounding amount for which contravention was earlier compounded, it shall be deemed that the contravener did not make an application for compounding of contravention under the PSS Act, and the RBI shall be free to take appropriate action under the Act.</w:t>
      </w:r>
    </w:p>
    <w:p w14:paraId="1ADCC63E" w14:textId="77777777" w:rsidR="00861364" w:rsidRPr="00C902C8" w:rsidRDefault="00861364" w:rsidP="00861364">
      <w:pPr>
        <w:spacing w:after="0" w:line="240" w:lineRule="auto"/>
        <w:jc w:val="both"/>
        <w:rPr>
          <w:rFonts w:ascii="Times New Roman" w:hAnsi="Times New Roman" w:cs="Times New Roman"/>
          <w:sz w:val="24"/>
          <w:szCs w:val="24"/>
        </w:rPr>
      </w:pPr>
    </w:p>
    <w:p w14:paraId="22AE085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(vii) Disclosure:</w:t>
      </w:r>
      <w:r w:rsidRPr="00C902C8">
        <w:rPr>
          <w:rFonts w:ascii="Times New Roman" w:hAnsi="Times New Roman" w:cs="Times New Roman"/>
          <w:sz w:val="24"/>
          <w:szCs w:val="24"/>
        </w:rPr>
        <w:t xml:space="preserve"> RBI shall make public the compounding amount levied on the entity for compounding of contraventions on its website.</w:t>
      </w:r>
    </w:p>
    <w:p w14:paraId="09821CCA"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5F97338B" w14:textId="77777777" w:rsidR="00861364" w:rsidRPr="00C902C8" w:rsidRDefault="00861364" w:rsidP="00861364">
      <w:pPr>
        <w:spacing w:after="0" w:line="240" w:lineRule="auto"/>
        <w:jc w:val="both"/>
        <w:rPr>
          <w:rFonts w:ascii="Times New Roman" w:hAnsi="Times New Roman" w:cs="Times New Roman"/>
          <w:sz w:val="24"/>
          <w:szCs w:val="24"/>
        </w:rPr>
      </w:pPr>
    </w:p>
    <w:p w14:paraId="46A1443F" w14:textId="77777777" w:rsidR="00861364" w:rsidRDefault="00861364" w:rsidP="00861364">
      <w:pPr>
        <w:spacing w:after="0" w:line="240" w:lineRule="auto"/>
        <w:jc w:val="both"/>
        <w:rPr>
          <w:rFonts w:ascii="Times New Roman" w:hAnsi="Times New Roman" w:cs="Times New Roman"/>
          <w:b/>
          <w:bCs/>
          <w:sz w:val="24"/>
          <w:szCs w:val="24"/>
        </w:rPr>
      </w:pPr>
    </w:p>
    <w:p w14:paraId="33C3FC2E"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Cash withdrawal using Point of Sale (PoS) terminals</w:t>
      </w:r>
    </w:p>
    <w:p w14:paraId="00AE3BA5" w14:textId="77777777" w:rsidR="00861364" w:rsidRPr="00C902C8" w:rsidRDefault="00861364" w:rsidP="00861364">
      <w:pPr>
        <w:spacing w:after="0" w:line="240" w:lineRule="auto"/>
        <w:jc w:val="both"/>
        <w:rPr>
          <w:rFonts w:ascii="Times New Roman" w:hAnsi="Times New Roman" w:cs="Times New Roman"/>
          <w:b/>
          <w:bCs/>
          <w:sz w:val="24"/>
          <w:szCs w:val="24"/>
        </w:rPr>
      </w:pPr>
    </w:p>
    <w:p w14:paraId="3732CEA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RBI/2019-20/154 DPSS.CO.PD No.1465/02.14.003/2019-20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31, 2020</w:t>
      </w:r>
    </w:p>
    <w:p w14:paraId="332DDE57" w14:textId="77777777" w:rsidR="00861364" w:rsidRPr="00C902C8" w:rsidRDefault="00861364" w:rsidP="00861364">
      <w:pPr>
        <w:spacing w:after="0" w:line="240" w:lineRule="auto"/>
        <w:jc w:val="both"/>
        <w:rPr>
          <w:rFonts w:ascii="Times New Roman" w:hAnsi="Times New Roman" w:cs="Times New Roman"/>
          <w:sz w:val="24"/>
          <w:szCs w:val="24"/>
        </w:rPr>
      </w:pPr>
    </w:p>
    <w:p w14:paraId="01B78B7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796E489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/Small Finance Banks (SFBs) / Authorised Card Payment Networks</w:t>
      </w:r>
    </w:p>
    <w:p w14:paraId="16E3CC6F" w14:textId="77777777" w:rsidR="00861364" w:rsidRPr="00C902C8" w:rsidRDefault="00861364" w:rsidP="00861364">
      <w:pPr>
        <w:spacing w:after="0" w:line="240" w:lineRule="auto"/>
        <w:jc w:val="both"/>
        <w:rPr>
          <w:rFonts w:ascii="Times New Roman" w:hAnsi="Times New Roman" w:cs="Times New Roman"/>
          <w:sz w:val="24"/>
          <w:szCs w:val="24"/>
        </w:rPr>
      </w:pPr>
    </w:p>
    <w:p w14:paraId="3C26876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circulars DPSS.CO.PD.No.147/02.14.003/2009-10 dated July 22, 2009, DPSS.CO.PD.No.563/02.14.003/2013-14 dated September 5, 2013, DPSS.CO.PD.No.449/02.14.003/2015-16 dated August 27, 2015 and DPSS.CO.PD.No.501/02.14.003/2019-20 dated August 29, 2019, in terms of which banks are required to obtain one time permission from the Reserve Bank of India (RBI) for offering the facility of cash withdrawal at PoS terminals deployed by them.</w:t>
      </w:r>
    </w:p>
    <w:p w14:paraId="2D2471E6" w14:textId="77777777" w:rsidR="00861364" w:rsidRPr="00C902C8" w:rsidRDefault="00861364" w:rsidP="00861364">
      <w:pPr>
        <w:spacing w:after="0" w:line="240" w:lineRule="auto"/>
        <w:jc w:val="both"/>
        <w:rPr>
          <w:rFonts w:ascii="Times New Roman" w:hAnsi="Times New Roman" w:cs="Times New Roman"/>
          <w:sz w:val="24"/>
          <w:szCs w:val="24"/>
        </w:rPr>
      </w:pPr>
    </w:p>
    <w:p w14:paraId="6A32605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that the requirement of obtaining permission from the RBI be dispensed with and that henceforth, banks may, based on the approval of their Board, provide cash withdrawal facility at PoS terminals. The designated merchant establishments may be advised to clearly indicate / display the availability of this facility along with the charges, if any, payable by the customer.</w:t>
      </w:r>
    </w:p>
    <w:p w14:paraId="29A6D701" w14:textId="77777777" w:rsidR="00861364" w:rsidRPr="00C902C8" w:rsidRDefault="00861364" w:rsidP="00861364">
      <w:pPr>
        <w:spacing w:after="0" w:line="240" w:lineRule="auto"/>
        <w:jc w:val="both"/>
        <w:rPr>
          <w:rFonts w:ascii="Times New Roman" w:hAnsi="Times New Roman" w:cs="Times New Roman"/>
          <w:sz w:val="24"/>
          <w:szCs w:val="24"/>
        </w:rPr>
      </w:pPr>
    </w:p>
    <w:p w14:paraId="0092FC5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provisions, including those pertaining to the submission of data / reports to RBI, shall continue as hitherto.</w:t>
      </w:r>
    </w:p>
    <w:p w14:paraId="21E720D9" w14:textId="77777777" w:rsidR="00861364" w:rsidRPr="00C902C8" w:rsidRDefault="00861364" w:rsidP="00861364">
      <w:pPr>
        <w:spacing w:after="0" w:line="240" w:lineRule="auto"/>
        <w:jc w:val="both"/>
        <w:rPr>
          <w:rFonts w:ascii="Times New Roman" w:hAnsi="Times New Roman" w:cs="Times New Roman"/>
          <w:sz w:val="24"/>
          <w:szCs w:val="24"/>
        </w:rPr>
      </w:pPr>
    </w:p>
    <w:p w14:paraId="3AE3E1C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Payment and Settlement Systems Act, 2007 (Act 51 of 2007).</w:t>
      </w:r>
    </w:p>
    <w:p w14:paraId="53585B94"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FBE103B" w14:textId="77777777" w:rsidR="00861364" w:rsidRPr="00C902C8" w:rsidRDefault="00861364" w:rsidP="00861364">
      <w:pPr>
        <w:spacing w:after="0" w:line="240" w:lineRule="auto"/>
        <w:jc w:val="both"/>
        <w:rPr>
          <w:rFonts w:ascii="Times New Roman" w:hAnsi="Times New Roman" w:cs="Times New Roman"/>
          <w:sz w:val="24"/>
          <w:szCs w:val="24"/>
        </w:rPr>
      </w:pPr>
    </w:p>
    <w:p w14:paraId="3981B4F9" w14:textId="77777777" w:rsidR="00861364" w:rsidRPr="00C902C8" w:rsidRDefault="00861364" w:rsidP="00861364">
      <w:pPr>
        <w:spacing w:after="0" w:line="240" w:lineRule="auto"/>
        <w:jc w:val="both"/>
        <w:rPr>
          <w:rFonts w:ascii="Times New Roman" w:hAnsi="Times New Roman" w:cs="Times New Roman"/>
          <w:sz w:val="24"/>
          <w:szCs w:val="24"/>
        </w:rPr>
      </w:pPr>
    </w:p>
    <w:p w14:paraId="400892F1"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Date: Jun 05, 2020</w:t>
      </w:r>
    </w:p>
    <w:p w14:paraId="23FA0344"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RBI announces creation of Payments Infrastructure Development Fund</w:t>
      </w:r>
    </w:p>
    <w:p w14:paraId="495C07C4" w14:textId="77777777" w:rsidR="00861364" w:rsidRPr="00C902C8" w:rsidRDefault="00861364" w:rsidP="00861364">
      <w:pPr>
        <w:spacing w:after="0" w:line="240" w:lineRule="auto"/>
        <w:jc w:val="both"/>
        <w:rPr>
          <w:rFonts w:ascii="Times New Roman" w:hAnsi="Times New Roman" w:cs="Times New Roman"/>
          <w:b/>
          <w:bCs/>
          <w:sz w:val="24"/>
          <w:szCs w:val="24"/>
        </w:rPr>
      </w:pPr>
    </w:p>
    <w:p w14:paraId="6AA2CFA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announces creation of a Payments Infrastructure Development Fund (PIDF) to encourage acquirers to deploy Points of Sale (PoS) infrastructure (both physical and digital modes) in tier-3 to tier-6 centres and north eastern states.</w:t>
      </w:r>
    </w:p>
    <w:p w14:paraId="030537A0" w14:textId="77777777" w:rsidR="00861364" w:rsidRPr="00C902C8" w:rsidRDefault="00861364" w:rsidP="00861364">
      <w:pPr>
        <w:spacing w:after="0" w:line="240" w:lineRule="auto"/>
        <w:jc w:val="both"/>
        <w:rPr>
          <w:rFonts w:ascii="Times New Roman" w:hAnsi="Times New Roman" w:cs="Times New Roman"/>
          <w:sz w:val="24"/>
          <w:szCs w:val="24"/>
        </w:rPr>
      </w:pPr>
    </w:p>
    <w:p w14:paraId="7A33B58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Over the years, payments ecosystem in the country has evolved with a wide range of options such as bank accounts, mobile phones, cards, etc. To provide further fillip to digitisation of payment systems, it is necessary to give impetus to acceptance infrastructure across the country, more so in underserved areas.</w:t>
      </w:r>
    </w:p>
    <w:p w14:paraId="2CC9373F" w14:textId="77777777" w:rsidR="00861364" w:rsidRPr="00C902C8" w:rsidRDefault="00861364" w:rsidP="00861364">
      <w:pPr>
        <w:spacing w:after="0" w:line="240" w:lineRule="auto"/>
        <w:jc w:val="both"/>
        <w:rPr>
          <w:rFonts w:ascii="Times New Roman" w:hAnsi="Times New Roman" w:cs="Times New Roman"/>
          <w:sz w:val="24"/>
          <w:szCs w:val="24"/>
        </w:rPr>
      </w:pPr>
    </w:p>
    <w:p w14:paraId="3E5945E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will make an initial contribution of ₹250 crores to the PIDF covering half the fund and remaining contribution will be from card issuing banks and card networks operating in the country. The PIDF will also receive recurring contributions to cover operational expenses from card issuing banks and card networks. The Reserve Bank will also contribute to yearly shortfalls, if necessary.</w:t>
      </w:r>
    </w:p>
    <w:p w14:paraId="01DA81FD" w14:textId="77777777" w:rsidR="00861364" w:rsidRPr="00C902C8" w:rsidRDefault="00861364" w:rsidP="00861364">
      <w:pPr>
        <w:spacing w:after="0" w:line="240" w:lineRule="auto"/>
        <w:jc w:val="both"/>
        <w:rPr>
          <w:rFonts w:ascii="Times New Roman" w:hAnsi="Times New Roman" w:cs="Times New Roman"/>
          <w:sz w:val="24"/>
          <w:szCs w:val="24"/>
        </w:rPr>
      </w:pPr>
    </w:p>
    <w:p w14:paraId="36B971B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PIDF will be governed through an Advisory Council and managed and administered by Reserve Bank.</w:t>
      </w:r>
    </w:p>
    <w:p w14:paraId="034B88A5"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03C5D74B" w14:textId="77777777" w:rsidR="00861364" w:rsidRPr="00C902C8" w:rsidRDefault="00861364" w:rsidP="00861364">
      <w:pPr>
        <w:spacing w:after="0" w:line="240" w:lineRule="auto"/>
        <w:jc w:val="both"/>
        <w:rPr>
          <w:rFonts w:ascii="Times New Roman" w:hAnsi="Times New Roman" w:cs="Times New Roman"/>
          <w:sz w:val="24"/>
          <w:szCs w:val="24"/>
        </w:rPr>
      </w:pPr>
    </w:p>
    <w:p w14:paraId="57E11850" w14:textId="77777777" w:rsidR="00861364" w:rsidRDefault="00861364" w:rsidP="00861364">
      <w:pPr>
        <w:spacing w:after="0" w:line="240" w:lineRule="auto"/>
        <w:jc w:val="both"/>
        <w:rPr>
          <w:rFonts w:ascii="Times New Roman" w:hAnsi="Times New Roman" w:cs="Times New Roman"/>
          <w:b/>
          <w:bCs/>
          <w:sz w:val="24"/>
          <w:szCs w:val="24"/>
        </w:rPr>
      </w:pPr>
    </w:p>
    <w:p w14:paraId="716E8B25" w14:textId="77777777" w:rsidR="00861364" w:rsidRDefault="00861364" w:rsidP="00861364">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Reserve Bank sensitises members of public on safe use of digital transactions</w:t>
      </w:r>
    </w:p>
    <w:p w14:paraId="38DCF00C" w14:textId="77777777" w:rsidR="00861364" w:rsidRDefault="00861364" w:rsidP="00861364">
      <w:pPr>
        <w:spacing w:after="0" w:line="240" w:lineRule="auto"/>
        <w:jc w:val="both"/>
        <w:rPr>
          <w:rFonts w:ascii="Times New Roman" w:hAnsi="Times New Roman" w:cs="Times New Roman"/>
          <w:b/>
          <w:bCs/>
          <w:sz w:val="24"/>
          <w:szCs w:val="24"/>
        </w:rPr>
      </w:pPr>
    </w:p>
    <w:p w14:paraId="0EF1BB87" w14:textId="77777777" w:rsidR="00861364" w:rsidRDefault="00861364" w:rsidP="00861364">
      <w:pPr>
        <w:spacing w:after="0" w:line="240" w:lineRule="auto"/>
        <w:jc w:val="both"/>
        <w:rPr>
          <w:rFonts w:ascii="Arial" w:hAnsi="Arial" w:cs="Arial"/>
          <w:b/>
          <w:bCs/>
          <w:color w:val="000000"/>
          <w:sz w:val="20"/>
          <w:szCs w:val="20"/>
          <w:shd w:val="clear" w:color="auto" w:fill="F7E8D5"/>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Arial" w:hAnsi="Arial" w:cs="Arial"/>
          <w:b/>
          <w:bCs/>
          <w:color w:val="000000"/>
          <w:sz w:val="20"/>
          <w:szCs w:val="20"/>
        </w:rPr>
        <w:t>Date: </w:t>
      </w:r>
      <w:r>
        <w:rPr>
          <w:rFonts w:ascii="Arial" w:hAnsi="Arial" w:cs="Arial"/>
          <w:b/>
          <w:bCs/>
          <w:color w:val="000000"/>
          <w:sz w:val="20"/>
          <w:szCs w:val="20"/>
          <w:shd w:val="clear" w:color="auto" w:fill="F7E8D5"/>
        </w:rPr>
        <w:t>Jun 22, 2020</w:t>
      </w:r>
    </w:p>
    <w:p w14:paraId="6AB3E23D" w14:textId="77777777" w:rsidR="00861364" w:rsidRPr="001128C2" w:rsidRDefault="00861364" w:rsidP="00861364">
      <w:pPr>
        <w:spacing w:after="0" w:line="240" w:lineRule="auto"/>
        <w:jc w:val="both"/>
        <w:rPr>
          <w:rFonts w:ascii="Times New Roman" w:hAnsi="Times New Roman" w:cs="Times New Roman"/>
          <w:b/>
          <w:bCs/>
          <w:sz w:val="24"/>
          <w:szCs w:val="24"/>
        </w:rPr>
      </w:pPr>
    </w:p>
    <w:p w14:paraId="11FB20D8"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 xml:space="preserve">Safety and security of digital transactions are of paramount importance to their users. The Reserve Bank has put in place many mechanisms to ensure the same by continuously and actively undertaking digital awareness campaigns in the print and Audio-Visual media, including through the Bank’s flagship programme </w:t>
      </w:r>
      <w:r w:rsidRPr="001128C2">
        <w:rPr>
          <w:rFonts w:ascii="Times New Roman" w:hAnsi="Times New Roman" w:cs="Times New Roman"/>
          <w:b/>
          <w:bCs/>
          <w:sz w:val="24"/>
          <w:szCs w:val="24"/>
        </w:rPr>
        <w:t>“RBI Kehta Hai”.</w:t>
      </w:r>
    </w:p>
    <w:p w14:paraId="6A27BA69" w14:textId="77777777" w:rsidR="00861364" w:rsidRPr="001128C2" w:rsidRDefault="00861364" w:rsidP="00861364">
      <w:pPr>
        <w:spacing w:after="0" w:line="240" w:lineRule="auto"/>
        <w:jc w:val="both"/>
        <w:rPr>
          <w:rFonts w:ascii="Times New Roman" w:hAnsi="Times New Roman" w:cs="Times New Roman"/>
          <w:sz w:val="24"/>
          <w:szCs w:val="24"/>
        </w:rPr>
      </w:pPr>
    </w:p>
    <w:p w14:paraId="112733FA"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In recent days there are reports of users falling prey to fraudsters who are luring them on fictitious pretexts, such as alleged completion of KYC requirements, impersonating identities and websites of banks and payment system operators, etc.</w:t>
      </w:r>
    </w:p>
    <w:p w14:paraId="2801AB87" w14:textId="77777777" w:rsidR="00861364" w:rsidRPr="001128C2" w:rsidRDefault="00861364" w:rsidP="00861364">
      <w:pPr>
        <w:spacing w:after="0" w:line="240" w:lineRule="auto"/>
        <w:jc w:val="both"/>
        <w:rPr>
          <w:rFonts w:ascii="Times New Roman" w:hAnsi="Times New Roman" w:cs="Times New Roman"/>
          <w:sz w:val="24"/>
          <w:szCs w:val="24"/>
        </w:rPr>
      </w:pPr>
    </w:p>
    <w:p w14:paraId="631E2C3D" w14:textId="77777777" w:rsidR="00861364"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To promote safe digital transactions among the general public it is reiterated that users should take care by (i) not sharing with anyone their ATM / Card (Debit / Credit / Prepaid) details; (ii) not sharing their Password, PIN, OTP, CVV, UPI-PIN, etc.; (iii) avoid undertaking banking or other financial transactions through public, open or free wifi-networks; and (iv) not storing important banking data on the mobile, e-mail, electronic wallet or purse. Consumers may remember that banks and other payment systems operators never ask for details such as password, PIN, OTP, CVV number.</w:t>
      </w:r>
    </w:p>
    <w:p w14:paraId="179403F8" w14:textId="77777777" w:rsidR="00861364" w:rsidRDefault="00861364" w:rsidP="00861364">
      <w:pPr>
        <w:pBdr>
          <w:bottom w:val="single" w:sz="12" w:space="1" w:color="auto"/>
        </w:pBdr>
        <w:spacing w:after="0" w:line="240" w:lineRule="auto"/>
        <w:jc w:val="both"/>
        <w:rPr>
          <w:rFonts w:ascii="Times New Roman" w:hAnsi="Times New Roman" w:cs="Times New Roman"/>
          <w:sz w:val="24"/>
          <w:szCs w:val="24"/>
        </w:rPr>
      </w:pPr>
    </w:p>
    <w:p w14:paraId="2468F279" w14:textId="77777777" w:rsidR="00861364" w:rsidRDefault="00861364" w:rsidP="00861364">
      <w:pPr>
        <w:spacing w:after="0" w:line="240" w:lineRule="auto"/>
        <w:jc w:val="both"/>
        <w:rPr>
          <w:rFonts w:ascii="Times New Roman" w:hAnsi="Times New Roman" w:cs="Times New Roman"/>
          <w:b/>
          <w:bCs/>
          <w:sz w:val="24"/>
          <w:szCs w:val="24"/>
        </w:rPr>
      </w:pPr>
    </w:p>
    <w:p w14:paraId="692ADA54" w14:textId="77777777" w:rsidR="00861364" w:rsidRDefault="00861364" w:rsidP="00861364">
      <w:pPr>
        <w:spacing w:after="0" w:line="240" w:lineRule="auto"/>
        <w:jc w:val="both"/>
        <w:rPr>
          <w:rFonts w:ascii="Times New Roman" w:hAnsi="Times New Roman" w:cs="Times New Roman"/>
          <w:b/>
          <w:bCs/>
          <w:sz w:val="24"/>
          <w:szCs w:val="24"/>
        </w:rPr>
      </w:pPr>
    </w:p>
    <w:p w14:paraId="2C06C892" w14:textId="77777777" w:rsidR="00861364" w:rsidRDefault="00861364" w:rsidP="00861364">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Instances of Payment Frauds – Enhancing Public Awareness Campaigns Through Multiple Channels</w:t>
      </w:r>
    </w:p>
    <w:p w14:paraId="1B494CC7" w14:textId="77777777" w:rsidR="00861364" w:rsidRPr="001128C2" w:rsidRDefault="00861364" w:rsidP="00861364">
      <w:pPr>
        <w:spacing w:after="0" w:line="240" w:lineRule="auto"/>
        <w:jc w:val="both"/>
        <w:rPr>
          <w:rFonts w:ascii="Times New Roman" w:hAnsi="Times New Roman" w:cs="Times New Roman"/>
          <w:b/>
          <w:bCs/>
          <w:sz w:val="24"/>
          <w:szCs w:val="24"/>
        </w:rPr>
      </w:pPr>
    </w:p>
    <w:p w14:paraId="6613298F"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RBI/2019-20/256</w:t>
      </w:r>
      <w:r>
        <w:rPr>
          <w:rFonts w:ascii="Times New Roman" w:hAnsi="Times New Roman" w:cs="Times New Roman"/>
          <w:sz w:val="24"/>
          <w:szCs w:val="24"/>
        </w:rPr>
        <w:t xml:space="preserve"> </w:t>
      </w:r>
      <w:r w:rsidRPr="001128C2">
        <w:rPr>
          <w:rFonts w:ascii="Times New Roman" w:hAnsi="Times New Roman" w:cs="Times New Roman"/>
          <w:sz w:val="24"/>
          <w:szCs w:val="24"/>
        </w:rPr>
        <w:t>DPSS.CO.OD.No.1934/06.08.005/2019-20</w:t>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22, 2020</w:t>
      </w:r>
    </w:p>
    <w:p w14:paraId="082E46CB" w14:textId="77777777" w:rsidR="00861364" w:rsidRPr="001128C2" w:rsidRDefault="00861364" w:rsidP="00861364">
      <w:pPr>
        <w:spacing w:after="0" w:line="240" w:lineRule="auto"/>
        <w:jc w:val="both"/>
        <w:rPr>
          <w:rFonts w:ascii="Times New Roman" w:hAnsi="Times New Roman" w:cs="Times New Roman"/>
          <w:sz w:val="24"/>
          <w:szCs w:val="24"/>
        </w:rPr>
      </w:pPr>
    </w:p>
    <w:p w14:paraId="725E862D"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The Chairman / Managing Director / Chief Executive Officer</w:t>
      </w:r>
    </w:p>
    <w:p w14:paraId="2F4E6189"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Authorised Payment System Operators (banks and non-banks) /</w:t>
      </w:r>
      <w:r>
        <w:rPr>
          <w:rFonts w:ascii="Times New Roman" w:hAnsi="Times New Roman" w:cs="Times New Roman"/>
          <w:sz w:val="24"/>
          <w:szCs w:val="24"/>
        </w:rPr>
        <w:t xml:space="preserve"> </w:t>
      </w:r>
      <w:r w:rsidRPr="001128C2">
        <w:rPr>
          <w:rFonts w:ascii="Times New Roman" w:hAnsi="Times New Roman" w:cs="Times New Roman"/>
          <w:sz w:val="24"/>
          <w:szCs w:val="24"/>
        </w:rPr>
        <w:t>Participants of Payment Systems (banks and non-banks)</w:t>
      </w:r>
    </w:p>
    <w:p w14:paraId="6D00A1E7" w14:textId="77777777" w:rsidR="00861364" w:rsidRPr="001128C2" w:rsidRDefault="00861364" w:rsidP="00861364">
      <w:pPr>
        <w:spacing w:after="0" w:line="240" w:lineRule="auto"/>
        <w:jc w:val="both"/>
        <w:rPr>
          <w:rFonts w:ascii="Times New Roman" w:hAnsi="Times New Roman" w:cs="Times New Roman"/>
          <w:sz w:val="24"/>
          <w:szCs w:val="24"/>
        </w:rPr>
      </w:pPr>
    </w:p>
    <w:p w14:paraId="4C5012A7" w14:textId="77777777" w:rsidR="00861364" w:rsidRPr="001128C2" w:rsidRDefault="00861364" w:rsidP="00861364">
      <w:pPr>
        <w:spacing w:after="0" w:line="240" w:lineRule="auto"/>
        <w:jc w:val="both"/>
        <w:rPr>
          <w:rFonts w:ascii="Times New Roman" w:hAnsi="Times New Roman" w:cs="Times New Roman"/>
          <w:sz w:val="24"/>
          <w:szCs w:val="24"/>
        </w:rPr>
      </w:pPr>
    </w:p>
    <w:p w14:paraId="36E874B3"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lastRenderedPageBreak/>
        <w:t>As you are aware, safety and security of digital transactions are of paramount importance. Reserve Bank has been taking measures to improve awareness through its e-BAAT programmes and organising campaigns on safe use of digital payment modes, to avoid sharing critical personal information like PIN, OTP, passwords, etc.</w:t>
      </w:r>
    </w:p>
    <w:p w14:paraId="0ED1BD50" w14:textId="77777777" w:rsidR="00861364" w:rsidRPr="001128C2" w:rsidRDefault="00861364" w:rsidP="00861364">
      <w:pPr>
        <w:spacing w:after="0" w:line="240" w:lineRule="auto"/>
        <w:jc w:val="both"/>
        <w:rPr>
          <w:rFonts w:ascii="Times New Roman" w:hAnsi="Times New Roman" w:cs="Times New Roman"/>
          <w:sz w:val="24"/>
          <w:szCs w:val="24"/>
        </w:rPr>
      </w:pPr>
    </w:p>
    <w:p w14:paraId="1F586814"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2. Inspite of these initiatives, incidence of frauds continue to bedevil digital users, often using the same modus operandi users were cautioned about, such as luring them to disclose vital payment information, swapping sim cards, opening links received in messages and mails, etc. There are also cases of users being tricked into downloading spurious apps that access critical information stored on devices. It is, therefore, essential that all payment systems operators and participants – banks and non-banks – continue and reinforce efforts to spread awareness about digital safety.</w:t>
      </w:r>
    </w:p>
    <w:p w14:paraId="1D9D7BB8" w14:textId="77777777" w:rsidR="00861364" w:rsidRPr="001128C2" w:rsidRDefault="00861364" w:rsidP="00861364">
      <w:pPr>
        <w:spacing w:after="0" w:line="240" w:lineRule="auto"/>
        <w:jc w:val="both"/>
        <w:rPr>
          <w:rFonts w:ascii="Times New Roman" w:hAnsi="Times New Roman" w:cs="Times New Roman"/>
          <w:sz w:val="24"/>
          <w:szCs w:val="24"/>
        </w:rPr>
      </w:pPr>
    </w:p>
    <w:p w14:paraId="3D9FFB04" w14:textId="77777777" w:rsidR="00861364"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3. All authorised payment systems operators and participants are hereby advised to undertake targeted multi-lingual campaigns by way of SMSs, advertisements in print and visual media, etc., to educate their users on safe and secure use of digital payments.</w:t>
      </w:r>
    </w:p>
    <w:p w14:paraId="3D6D92A2" w14:textId="77777777" w:rsidR="00861364" w:rsidRDefault="00861364" w:rsidP="00861364">
      <w:pPr>
        <w:pBdr>
          <w:bottom w:val="single" w:sz="12" w:space="1" w:color="auto"/>
        </w:pBdr>
        <w:spacing w:after="0" w:line="240" w:lineRule="auto"/>
        <w:jc w:val="both"/>
        <w:rPr>
          <w:rFonts w:ascii="Times New Roman" w:hAnsi="Times New Roman" w:cs="Times New Roman"/>
          <w:sz w:val="24"/>
          <w:szCs w:val="24"/>
        </w:rPr>
      </w:pPr>
    </w:p>
    <w:p w14:paraId="2F9F23F3" w14:textId="77777777" w:rsidR="00861364" w:rsidRPr="001128C2" w:rsidRDefault="00861364" w:rsidP="00861364">
      <w:pPr>
        <w:spacing w:after="0" w:line="240" w:lineRule="auto"/>
        <w:jc w:val="both"/>
        <w:rPr>
          <w:rFonts w:ascii="Times New Roman" w:hAnsi="Times New Roman" w:cs="Times New Roman"/>
          <w:sz w:val="24"/>
          <w:szCs w:val="24"/>
        </w:rPr>
      </w:pPr>
    </w:p>
    <w:p w14:paraId="0732E59E" w14:textId="77777777" w:rsidR="00861364" w:rsidRDefault="00861364" w:rsidP="00861364">
      <w:pPr>
        <w:spacing w:after="0" w:line="240" w:lineRule="auto"/>
        <w:jc w:val="both"/>
        <w:rPr>
          <w:rFonts w:ascii="Times New Roman" w:hAnsi="Times New Roman" w:cs="Times New Roman"/>
          <w:b/>
          <w:bCs/>
          <w:sz w:val="24"/>
          <w:szCs w:val="24"/>
        </w:rPr>
      </w:pPr>
    </w:p>
    <w:p w14:paraId="469F84B0"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Enhancing Security of Card Transactions</w:t>
      </w:r>
    </w:p>
    <w:p w14:paraId="70B226CE"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D87A8F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RBI/2019-20/142 DPSS.CO.PD No.1343/02.14.003/2019-20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15, 2020</w:t>
      </w:r>
    </w:p>
    <w:p w14:paraId="586AF15D" w14:textId="77777777" w:rsidR="00861364" w:rsidRPr="00C902C8" w:rsidRDefault="00861364" w:rsidP="00861364">
      <w:pPr>
        <w:spacing w:after="0" w:line="240" w:lineRule="auto"/>
        <w:jc w:val="both"/>
        <w:rPr>
          <w:rFonts w:ascii="Times New Roman" w:hAnsi="Times New Roman" w:cs="Times New Roman"/>
          <w:sz w:val="24"/>
          <w:szCs w:val="24"/>
        </w:rPr>
      </w:pPr>
    </w:p>
    <w:p w14:paraId="19BA559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1C71CB9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 Small Finance Banks (SFBs) / Local Area Banks (LABs) / Authorised Card Payment Networks / Non-Bank PPI issuers</w:t>
      </w:r>
    </w:p>
    <w:p w14:paraId="549CE607" w14:textId="77777777" w:rsidR="00861364" w:rsidRPr="00C902C8" w:rsidRDefault="00861364" w:rsidP="00861364">
      <w:pPr>
        <w:spacing w:after="0" w:line="240" w:lineRule="auto"/>
        <w:jc w:val="both"/>
        <w:rPr>
          <w:rFonts w:ascii="Times New Roman" w:hAnsi="Times New Roman" w:cs="Times New Roman"/>
          <w:sz w:val="24"/>
          <w:szCs w:val="24"/>
        </w:rPr>
      </w:pPr>
    </w:p>
    <w:p w14:paraId="223189E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 the years, the volume and value of transactions made through cards have increased manifold. To improve user convenience and increase the security of card transactions, it has been decided as under:</w:t>
      </w:r>
    </w:p>
    <w:p w14:paraId="6183A028" w14:textId="77777777" w:rsidR="00861364" w:rsidRPr="00C902C8" w:rsidRDefault="00861364" w:rsidP="00861364">
      <w:pPr>
        <w:spacing w:after="0" w:line="240" w:lineRule="auto"/>
        <w:jc w:val="both"/>
        <w:rPr>
          <w:rFonts w:ascii="Times New Roman" w:hAnsi="Times New Roman" w:cs="Times New Roman"/>
          <w:sz w:val="24"/>
          <w:szCs w:val="24"/>
        </w:rPr>
      </w:pPr>
    </w:p>
    <w:p w14:paraId="11A3FE7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At the time of issue / re-issue, all cards (physical and virtual) shall be enabled for use only at contact-based points of usage [viz. ATMs and Point of Sale (PoS) devices] within India. Issuers shall provide cardholders a facility for enabling card not present (domestic and international) transactions, card present (international) transactions and contactless transactions, as per the process outlined in para 1 (c).</w:t>
      </w:r>
    </w:p>
    <w:p w14:paraId="5B64FBB5" w14:textId="77777777" w:rsidR="00861364" w:rsidRPr="00C902C8" w:rsidRDefault="00861364" w:rsidP="00861364">
      <w:pPr>
        <w:spacing w:after="0" w:line="240" w:lineRule="auto"/>
        <w:jc w:val="both"/>
        <w:rPr>
          <w:rFonts w:ascii="Times New Roman" w:hAnsi="Times New Roman" w:cs="Times New Roman"/>
          <w:sz w:val="24"/>
          <w:szCs w:val="24"/>
        </w:rPr>
      </w:pPr>
    </w:p>
    <w:p w14:paraId="4C19339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For existing cards, issuers may take a decision, based on their risk perception, whether to disable the card not present (domestic and international) transactions, card present (international) transactions and contactless transaction rights. Existing cards which have never been used for online (card not present) / international / contactless transactions shall be mandatorily disabled for this purpose.</w:t>
      </w:r>
    </w:p>
    <w:p w14:paraId="7DDDADE0" w14:textId="77777777" w:rsidR="00861364" w:rsidRPr="00C902C8" w:rsidRDefault="00861364" w:rsidP="00861364">
      <w:pPr>
        <w:spacing w:after="0" w:line="240" w:lineRule="auto"/>
        <w:jc w:val="both"/>
        <w:rPr>
          <w:rFonts w:ascii="Times New Roman" w:hAnsi="Times New Roman" w:cs="Times New Roman"/>
          <w:sz w:val="24"/>
          <w:szCs w:val="24"/>
        </w:rPr>
      </w:pPr>
    </w:p>
    <w:p w14:paraId="3C64722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Additionally, the issuers shall provide to all cardholders:</w:t>
      </w:r>
    </w:p>
    <w:p w14:paraId="747BD45F" w14:textId="77777777" w:rsidR="00861364" w:rsidRPr="00C902C8" w:rsidRDefault="00861364" w:rsidP="00861364">
      <w:pPr>
        <w:spacing w:after="0" w:line="240" w:lineRule="auto"/>
        <w:jc w:val="both"/>
        <w:rPr>
          <w:rFonts w:ascii="Times New Roman" w:hAnsi="Times New Roman" w:cs="Times New Roman"/>
          <w:sz w:val="24"/>
          <w:szCs w:val="24"/>
        </w:rPr>
      </w:pPr>
    </w:p>
    <w:p w14:paraId="4D8F4609" w14:textId="77777777" w:rsidR="00861364" w:rsidRPr="00C902C8" w:rsidRDefault="00861364" w:rsidP="00AF11B1">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facility to switch on / off and set / modify transaction limits (within the overall card limit, if any, set by the issuer) for all types of transactions – domestic and international, at PoS / ATMs / online transactions / contactless transactions, etc.;</w:t>
      </w:r>
    </w:p>
    <w:p w14:paraId="0C7E9520" w14:textId="77777777" w:rsidR="00861364" w:rsidRPr="00C902C8" w:rsidRDefault="00861364" w:rsidP="00AF11B1">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the above facility on a 24x7 basis through multiple channels - mobile application / internet banking / ATMs / Interactive Voice Response (IVR); this may also be offered at branches / offices;</w:t>
      </w:r>
    </w:p>
    <w:p w14:paraId="6F2B9589" w14:textId="77777777" w:rsidR="00861364" w:rsidRPr="00C902C8" w:rsidRDefault="00861364" w:rsidP="00AF11B1">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alerts / information / status, etc., through SMS / e-mail, as and when there is any change in status of the card.</w:t>
      </w:r>
    </w:p>
    <w:p w14:paraId="76148959" w14:textId="77777777" w:rsidR="00861364" w:rsidRPr="00C902C8" w:rsidRDefault="00861364" w:rsidP="00861364">
      <w:pPr>
        <w:spacing w:after="0" w:line="240" w:lineRule="auto"/>
        <w:jc w:val="both"/>
        <w:rPr>
          <w:rFonts w:ascii="Times New Roman" w:hAnsi="Times New Roman" w:cs="Times New Roman"/>
          <w:sz w:val="24"/>
          <w:szCs w:val="24"/>
        </w:rPr>
      </w:pPr>
    </w:p>
    <w:p w14:paraId="0CE620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of this circular are not mandatory for prepaid gift cards and those used at mass transit systems.</w:t>
      </w:r>
    </w:p>
    <w:p w14:paraId="73845F76" w14:textId="77777777" w:rsidR="00861364" w:rsidRPr="00C902C8" w:rsidRDefault="00861364" w:rsidP="00861364">
      <w:pPr>
        <w:spacing w:after="0" w:line="240" w:lineRule="auto"/>
        <w:jc w:val="both"/>
        <w:rPr>
          <w:rFonts w:ascii="Times New Roman" w:hAnsi="Times New Roman" w:cs="Times New Roman"/>
          <w:sz w:val="24"/>
          <w:szCs w:val="24"/>
        </w:rPr>
      </w:pPr>
    </w:p>
    <w:p w14:paraId="384F24A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Issuers and card networks may give wide publicity to the provisions of this circular.</w:t>
      </w:r>
    </w:p>
    <w:p w14:paraId="4F3E255C" w14:textId="77777777" w:rsidR="00861364" w:rsidRPr="00C902C8" w:rsidRDefault="00861364" w:rsidP="00861364">
      <w:pPr>
        <w:spacing w:after="0" w:line="240" w:lineRule="auto"/>
        <w:jc w:val="both"/>
        <w:rPr>
          <w:rFonts w:ascii="Times New Roman" w:hAnsi="Times New Roman" w:cs="Times New Roman"/>
          <w:sz w:val="24"/>
          <w:szCs w:val="24"/>
        </w:rPr>
      </w:pPr>
    </w:p>
    <w:p w14:paraId="1E2C1C9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the Payment and Settlement Systems Act, 2007 (Act 51 of 2007) and shall come into effect from March 16, 2020.</w:t>
      </w:r>
    </w:p>
    <w:p w14:paraId="1D5131A9"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4EEAD658" w14:textId="77777777" w:rsidR="00861364" w:rsidRPr="00C902C8" w:rsidRDefault="00861364" w:rsidP="00861364">
      <w:pPr>
        <w:spacing w:after="0" w:line="240" w:lineRule="auto"/>
        <w:jc w:val="both"/>
        <w:rPr>
          <w:rFonts w:ascii="Times New Roman" w:hAnsi="Times New Roman" w:cs="Times New Roman"/>
          <w:sz w:val="24"/>
          <w:szCs w:val="24"/>
        </w:rPr>
      </w:pPr>
    </w:p>
    <w:p w14:paraId="222DBF6B" w14:textId="77777777" w:rsidR="00861364" w:rsidRDefault="00861364" w:rsidP="00861364">
      <w:pPr>
        <w:spacing w:after="0" w:line="240" w:lineRule="auto"/>
        <w:jc w:val="both"/>
        <w:rPr>
          <w:rFonts w:ascii="Times New Roman" w:hAnsi="Times New Roman" w:cs="Times New Roman"/>
          <w:b/>
          <w:bCs/>
          <w:sz w:val="24"/>
          <w:szCs w:val="24"/>
        </w:rPr>
      </w:pPr>
    </w:p>
    <w:p w14:paraId="5015305B"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Electronic Cards for Overdraft Accounts</w:t>
      </w:r>
    </w:p>
    <w:p w14:paraId="57ECEDA5" w14:textId="77777777" w:rsidR="00861364" w:rsidRPr="00C902C8" w:rsidRDefault="00861364" w:rsidP="00861364">
      <w:pPr>
        <w:spacing w:after="0" w:line="240" w:lineRule="auto"/>
        <w:jc w:val="both"/>
        <w:rPr>
          <w:rFonts w:ascii="Times New Roman" w:hAnsi="Times New Roman" w:cs="Times New Roman"/>
          <w:b/>
          <w:bCs/>
          <w:sz w:val="24"/>
          <w:szCs w:val="24"/>
        </w:rPr>
      </w:pPr>
    </w:p>
    <w:p w14:paraId="3765C3E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RBI/2019-20/225 DOR.FSD.BC.No.67/24.01.041/2019-20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23, 2020</w:t>
      </w:r>
    </w:p>
    <w:p w14:paraId="561A7E5E" w14:textId="77777777" w:rsidR="00861364" w:rsidRPr="00C902C8" w:rsidRDefault="00861364" w:rsidP="00861364">
      <w:pPr>
        <w:spacing w:after="0" w:line="240" w:lineRule="auto"/>
        <w:jc w:val="both"/>
        <w:rPr>
          <w:rFonts w:ascii="Times New Roman" w:hAnsi="Times New Roman" w:cs="Times New Roman"/>
          <w:sz w:val="24"/>
          <w:szCs w:val="24"/>
        </w:rPr>
      </w:pPr>
    </w:p>
    <w:p w14:paraId="516EAE1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1E1AAA2A" w14:textId="77777777" w:rsidR="00861364" w:rsidRPr="00C902C8" w:rsidRDefault="00861364" w:rsidP="00861364">
      <w:pPr>
        <w:spacing w:after="0" w:line="240" w:lineRule="auto"/>
        <w:jc w:val="both"/>
        <w:rPr>
          <w:rFonts w:ascii="Times New Roman" w:hAnsi="Times New Roman" w:cs="Times New Roman"/>
          <w:sz w:val="24"/>
          <w:szCs w:val="24"/>
        </w:rPr>
      </w:pPr>
    </w:p>
    <w:p w14:paraId="7FFECAF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 II.2 of ‘Master Circular on Credit Card, Debit Card and Rupee Denominated Co-branded Pre-paid Card Operations of Banks and Credit Card issuing NBFCs’ dated July 1, 2015 wherein banks have been permitted to issue debit cards to customers having Saving Bank/Current Accounts but not to cash credit/loan account holders. In this connection, it has been decided to permit banks to issue electronic cards to natural persons having Overdraft Accounts that are only in the nature of personal loan without any specific end-use restrictions. The card shall be issued for a period not exceeding the validity of the facility and shall also be subject to the usual rights of the banks as lenders.</w:t>
      </w:r>
    </w:p>
    <w:p w14:paraId="6CBE8C40" w14:textId="77777777" w:rsidR="00861364" w:rsidRPr="00C902C8" w:rsidRDefault="00861364" w:rsidP="00861364">
      <w:pPr>
        <w:spacing w:after="0" w:line="240" w:lineRule="auto"/>
        <w:jc w:val="both"/>
        <w:rPr>
          <w:rFonts w:ascii="Times New Roman" w:hAnsi="Times New Roman" w:cs="Times New Roman"/>
          <w:sz w:val="24"/>
          <w:szCs w:val="24"/>
        </w:rPr>
      </w:pPr>
    </w:p>
    <w:p w14:paraId="6517579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electronic card for Overdraft Accounts in the nature of personal loans shall be allowed to be used for domestic transactions only. Further, adequate checks and balances shall be put in place to ensure that the usage of such cards is restricted to facilitate online/ non-cash transactions. The restriction on cash transaction will not apply to overdraft facility provided along with Pradhan Mantri Jan Dhan Yojana (PMJDY) accounts.</w:t>
      </w:r>
    </w:p>
    <w:p w14:paraId="4B87AAFF" w14:textId="77777777" w:rsidR="00861364" w:rsidRPr="00C902C8" w:rsidRDefault="00861364" w:rsidP="00861364">
      <w:pPr>
        <w:spacing w:after="0" w:line="240" w:lineRule="auto"/>
        <w:jc w:val="both"/>
        <w:rPr>
          <w:rFonts w:ascii="Times New Roman" w:hAnsi="Times New Roman" w:cs="Times New Roman"/>
          <w:sz w:val="24"/>
          <w:szCs w:val="24"/>
        </w:rPr>
      </w:pPr>
    </w:p>
    <w:p w14:paraId="2EB7D77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Prior to launching the product, the banks shall frame a Board approved policy on issuance of electronic cards to above mentioned Overdraft Accounts, encompassing appropriate risk management, periodic review procedures, grievance redressal mechanism, etc., which will be subject to supervisory review.</w:t>
      </w:r>
    </w:p>
    <w:p w14:paraId="5DD2FB53" w14:textId="77777777" w:rsidR="00861364" w:rsidRPr="00C902C8" w:rsidRDefault="00861364" w:rsidP="00861364">
      <w:pPr>
        <w:spacing w:after="0" w:line="240" w:lineRule="auto"/>
        <w:jc w:val="both"/>
        <w:rPr>
          <w:rFonts w:ascii="Times New Roman" w:hAnsi="Times New Roman" w:cs="Times New Roman"/>
          <w:sz w:val="24"/>
          <w:szCs w:val="24"/>
        </w:rPr>
      </w:pPr>
    </w:p>
    <w:p w14:paraId="0200975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card shall be issued subject to instructions on terms and conditions, security, grievance redressal, confidentiality of customer information as applicable for debit cards and all other relevant instructions on card operations issued by the Reserve Bank.</w:t>
      </w:r>
    </w:p>
    <w:p w14:paraId="6BBAA591"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26E9806" w14:textId="77777777" w:rsidR="00861364" w:rsidRPr="00C902C8" w:rsidRDefault="00861364" w:rsidP="00861364">
      <w:pPr>
        <w:spacing w:after="0" w:line="240" w:lineRule="auto"/>
        <w:jc w:val="both"/>
        <w:rPr>
          <w:rFonts w:ascii="Times New Roman" w:hAnsi="Times New Roman" w:cs="Times New Roman"/>
          <w:sz w:val="24"/>
          <w:szCs w:val="24"/>
        </w:rPr>
      </w:pPr>
    </w:p>
    <w:p w14:paraId="17CB01C3" w14:textId="61B9DEE5" w:rsidR="00861364" w:rsidRDefault="00861364" w:rsidP="00861364">
      <w:pPr>
        <w:spacing w:after="0" w:line="240" w:lineRule="auto"/>
        <w:jc w:val="both"/>
        <w:rPr>
          <w:rFonts w:ascii="Times New Roman" w:hAnsi="Times New Roman" w:cs="Times New Roman"/>
          <w:sz w:val="24"/>
          <w:szCs w:val="24"/>
        </w:rPr>
      </w:pPr>
    </w:p>
    <w:p w14:paraId="32A8E809" w14:textId="77777777" w:rsidR="00AB3BB5" w:rsidRPr="00C902C8" w:rsidRDefault="00AB3BB5" w:rsidP="00861364">
      <w:pPr>
        <w:spacing w:after="0" w:line="240" w:lineRule="auto"/>
        <w:jc w:val="both"/>
        <w:rPr>
          <w:rFonts w:ascii="Times New Roman" w:hAnsi="Times New Roman" w:cs="Times New Roman"/>
          <w:sz w:val="24"/>
          <w:szCs w:val="24"/>
        </w:rPr>
      </w:pPr>
    </w:p>
    <w:p w14:paraId="620F58C0"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Issue of Long Term Bonds by Banks – Financing of Infrastructure and Affordable Housing</w:t>
      </w:r>
    </w:p>
    <w:p w14:paraId="01CC9F76" w14:textId="77777777" w:rsidR="00861364" w:rsidRPr="00C902C8" w:rsidRDefault="00861364" w:rsidP="00861364">
      <w:pPr>
        <w:spacing w:after="0" w:line="240" w:lineRule="auto"/>
        <w:jc w:val="both"/>
        <w:rPr>
          <w:rFonts w:ascii="Times New Roman" w:hAnsi="Times New Roman" w:cs="Times New Roman"/>
          <w:b/>
          <w:bCs/>
          <w:sz w:val="24"/>
          <w:szCs w:val="24"/>
        </w:rPr>
      </w:pPr>
    </w:p>
    <w:p w14:paraId="220E1FF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RBI/2019-20/176 DOR.No.BP.BC.41/08.12.014/2019-20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17, 2020</w:t>
      </w:r>
    </w:p>
    <w:p w14:paraId="12EC7BF5" w14:textId="77777777" w:rsidR="00861364" w:rsidRPr="00C902C8" w:rsidRDefault="00861364" w:rsidP="00861364">
      <w:pPr>
        <w:spacing w:after="0" w:line="240" w:lineRule="auto"/>
        <w:jc w:val="both"/>
        <w:rPr>
          <w:rFonts w:ascii="Times New Roman" w:hAnsi="Times New Roman" w:cs="Times New Roman"/>
          <w:sz w:val="24"/>
          <w:szCs w:val="24"/>
        </w:rPr>
      </w:pPr>
    </w:p>
    <w:p w14:paraId="155C25D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w:t>
      </w:r>
    </w:p>
    <w:p w14:paraId="0B24A005" w14:textId="77777777" w:rsidR="00861364" w:rsidRPr="00C902C8" w:rsidRDefault="00861364" w:rsidP="00861364">
      <w:pPr>
        <w:spacing w:after="0" w:line="240" w:lineRule="auto"/>
        <w:jc w:val="both"/>
        <w:rPr>
          <w:rFonts w:ascii="Times New Roman" w:hAnsi="Times New Roman" w:cs="Times New Roman"/>
          <w:sz w:val="24"/>
          <w:szCs w:val="24"/>
        </w:rPr>
      </w:pPr>
    </w:p>
    <w:p w14:paraId="171B9D6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DBOD.BP.BC.No.25/08.12.014/2014-15 dated July 15, 2014 and subsequent circulars on the above subject. Also refer to the circular DBR.BP.BC.No.42/08.12.014/2016-17 dated December 1, 2016 advising that for the purpose of definition of ‘Infrastructure Lending’, banks and select All India Term-Lending and Refinancing Institutions may be guided by the Gazette Notifications issued by the Department of Economic Affairs, Ministry of Finance, Government of India, from time to time.</w:t>
      </w:r>
    </w:p>
    <w:p w14:paraId="19728476" w14:textId="77777777" w:rsidR="00861364" w:rsidRPr="00C902C8" w:rsidRDefault="00861364" w:rsidP="00861364">
      <w:pPr>
        <w:spacing w:after="0" w:line="240" w:lineRule="auto"/>
        <w:jc w:val="both"/>
        <w:rPr>
          <w:rFonts w:ascii="Times New Roman" w:hAnsi="Times New Roman" w:cs="Times New Roman"/>
          <w:sz w:val="24"/>
          <w:szCs w:val="24"/>
        </w:rPr>
      </w:pPr>
    </w:p>
    <w:p w14:paraId="5950690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For the purpose of circular dated July 15, 2014 mentioned above, ‘Infrastructure Sub-sectors’ and ‘affordable housing’ have been defined under paragraphs 2(i) and 2(ii) of the Annex therein. Affordable housing has since been included in the harmonised master list (HML) of infrastructure subsectors issued vide gazette notification dated March 30, 2017. For lending to infrastructure sector, banks/FIs shall continue to follow the definition of affordable housing projects as per the definition in the HML, as amended from time to time.</w:t>
      </w:r>
    </w:p>
    <w:p w14:paraId="7CD8FF6F" w14:textId="77777777" w:rsidR="00861364" w:rsidRPr="00C902C8" w:rsidRDefault="00861364" w:rsidP="00861364">
      <w:pPr>
        <w:spacing w:after="0" w:line="240" w:lineRule="auto"/>
        <w:jc w:val="both"/>
        <w:rPr>
          <w:rFonts w:ascii="Times New Roman" w:hAnsi="Times New Roman" w:cs="Times New Roman"/>
          <w:sz w:val="24"/>
          <w:szCs w:val="24"/>
        </w:rPr>
      </w:pPr>
    </w:p>
    <w:p w14:paraId="2BCC4EBF" w14:textId="77777777" w:rsidR="00861364" w:rsidRPr="00C902C8" w:rsidRDefault="00861364" w:rsidP="00861364">
      <w:pPr>
        <w:pStyle w:val="NormalWeb"/>
        <w:shd w:val="clear" w:color="auto" w:fill="FFFFFF"/>
        <w:spacing w:before="0" w:beforeAutospacing="0" w:after="0" w:afterAutospacing="0"/>
        <w:jc w:val="both"/>
        <w:rPr>
          <w:color w:val="000000"/>
        </w:rPr>
      </w:pPr>
      <w:r w:rsidRPr="00C902C8">
        <w:t xml:space="preserve">3. On account of inclusion of affordable housing under the HML, it has now been decided to align the definition of lending to affordable housing under the above-mentioned circular dated July 15, 2014 with the definition provided in the HML of infrastructure subsectors. </w:t>
      </w:r>
      <w:r w:rsidRPr="00C902C8">
        <w:rPr>
          <w:color w:val="000000"/>
        </w:rPr>
        <w:t>Accordingly, for the purpose of issue of long terms bonds, it is advised as under:</w:t>
      </w:r>
    </w:p>
    <w:p w14:paraId="57F5ADF5" w14:textId="77777777" w:rsidR="00861364" w:rsidRPr="00C902C8" w:rsidRDefault="00861364" w:rsidP="00861364">
      <w:pPr>
        <w:pStyle w:val="NormalWeb"/>
        <w:shd w:val="clear" w:color="auto" w:fill="FFFFFF"/>
        <w:spacing w:before="0" w:beforeAutospacing="0" w:after="0" w:afterAutospacing="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2"/>
        <w:gridCol w:w="3751"/>
      </w:tblGrid>
      <w:tr w:rsidR="00861364" w:rsidRPr="00C902C8" w14:paraId="5BF86BF5" w14:textId="77777777" w:rsidTr="005E14B1">
        <w:trPr>
          <w:jc w:val="center"/>
        </w:trPr>
        <w:tc>
          <w:tcPr>
            <w:tcW w:w="0" w:type="auto"/>
            <w:gridSpan w:val="2"/>
            <w:tcMar>
              <w:top w:w="0" w:type="dxa"/>
              <w:left w:w="45" w:type="dxa"/>
              <w:bottom w:w="0" w:type="dxa"/>
              <w:right w:w="45" w:type="dxa"/>
            </w:tcMar>
            <w:vAlign w:val="center"/>
            <w:hideMark/>
          </w:tcPr>
          <w:p w14:paraId="071F6F2B"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Lending to affordable housing for individual units</w:t>
            </w:r>
          </w:p>
        </w:tc>
      </w:tr>
      <w:tr w:rsidR="00861364" w:rsidRPr="00C902C8" w14:paraId="522B5B3D" w14:textId="77777777" w:rsidTr="005E14B1">
        <w:trPr>
          <w:jc w:val="center"/>
        </w:trPr>
        <w:tc>
          <w:tcPr>
            <w:tcW w:w="2400" w:type="pct"/>
            <w:tcMar>
              <w:top w:w="0" w:type="dxa"/>
              <w:left w:w="45" w:type="dxa"/>
              <w:bottom w:w="0" w:type="dxa"/>
              <w:right w:w="45" w:type="dxa"/>
            </w:tcMar>
            <w:vAlign w:val="center"/>
            <w:hideMark/>
          </w:tcPr>
          <w:p w14:paraId="64527DB4"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definition</w:t>
            </w:r>
          </w:p>
        </w:tc>
        <w:tc>
          <w:tcPr>
            <w:tcW w:w="2600" w:type="pct"/>
            <w:tcMar>
              <w:top w:w="0" w:type="dxa"/>
              <w:left w:w="45" w:type="dxa"/>
              <w:bottom w:w="0" w:type="dxa"/>
              <w:right w:w="45" w:type="dxa"/>
            </w:tcMar>
            <w:vAlign w:val="center"/>
            <w:hideMark/>
          </w:tcPr>
          <w:p w14:paraId="4BAD4B3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Revised definition</w:t>
            </w:r>
          </w:p>
        </w:tc>
      </w:tr>
      <w:tr w:rsidR="00861364" w:rsidRPr="00C902C8" w14:paraId="768679A9" w14:textId="77777777" w:rsidTr="005E14B1">
        <w:trPr>
          <w:jc w:val="center"/>
        </w:trPr>
        <w:tc>
          <w:tcPr>
            <w:tcW w:w="0" w:type="auto"/>
            <w:tcMar>
              <w:top w:w="0" w:type="dxa"/>
              <w:left w:w="45" w:type="dxa"/>
              <w:bottom w:w="0" w:type="dxa"/>
              <w:right w:w="45" w:type="dxa"/>
            </w:tcMar>
            <w:hideMark/>
          </w:tcPr>
          <w:p w14:paraId="64582054"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Housing loans eligible under priority sector lending by the RBI (please see the Appendix to the </w:t>
            </w:r>
            <w:hyperlink r:id="rId7" w:tgtFrame="_blank" w:history="1">
              <w:r w:rsidRPr="00C902C8">
                <w:rPr>
                  <w:rFonts w:ascii="Times New Roman" w:eastAsia="Times New Roman" w:hAnsi="Times New Roman" w:cs="Times New Roman"/>
                  <w:color w:val="0000FF"/>
                  <w:sz w:val="24"/>
                  <w:szCs w:val="24"/>
                  <w:u w:val="single"/>
                  <w:lang w:eastAsia="en-IN"/>
                </w:rPr>
                <w:t>circular dated July 15, 2014</w:t>
              </w:r>
            </w:hyperlink>
            <w:r w:rsidRPr="00C902C8">
              <w:rPr>
                <w:rFonts w:ascii="Times New Roman" w:eastAsia="Times New Roman" w:hAnsi="Times New Roman" w:cs="Times New Roman"/>
                <w:color w:val="000000"/>
                <w:sz w:val="24"/>
                <w:szCs w:val="24"/>
                <w:lang w:eastAsia="en-IN"/>
              </w:rPr>
              <w:t> and as updated from time to time), and also housing loans to individuals upto Rs. 50 lakhs for houses of values upto Rs. 65 lakhs located in the six metropolitan centres viz. Mumbai, New Delhi, Chennai, Kolkata, Bengaluru and Hyderabad and Rs. 40 lakhs for houses of values upto Rs. 50 lakhs in other centres for purchase/construction of dwelling unit per family.</w:t>
            </w:r>
          </w:p>
        </w:tc>
        <w:tc>
          <w:tcPr>
            <w:tcW w:w="0" w:type="auto"/>
            <w:tcMar>
              <w:top w:w="0" w:type="dxa"/>
              <w:left w:w="45" w:type="dxa"/>
              <w:bottom w:w="0" w:type="dxa"/>
              <w:right w:w="45" w:type="dxa"/>
            </w:tcMar>
            <w:hideMark/>
          </w:tcPr>
          <w:p w14:paraId="23DD294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Housing loans eligible to be classified under priority sector lending (as updated from time to time) and housing loans to individuals for acquiring dwelling units within the prescribed threshold under the affordable housing definition in the HML.</w:t>
            </w:r>
          </w:p>
        </w:tc>
      </w:tr>
    </w:tbl>
    <w:p w14:paraId="1FF650EB" w14:textId="77777777" w:rsidR="00861364" w:rsidRPr="00C902C8" w:rsidRDefault="00861364" w:rsidP="00861364">
      <w:pPr>
        <w:spacing w:after="0" w:line="240" w:lineRule="auto"/>
        <w:jc w:val="both"/>
        <w:rPr>
          <w:rFonts w:ascii="Times New Roman" w:hAnsi="Times New Roman" w:cs="Times New Roman"/>
          <w:sz w:val="24"/>
          <w:szCs w:val="24"/>
        </w:rPr>
      </w:pPr>
    </w:p>
    <w:p w14:paraId="478AF90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All other instructions on issue of long term bonds and lending to infrastructure sector remain unchanged.</w:t>
      </w:r>
    </w:p>
    <w:p w14:paraId="39812B9C"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2B72C8E1" w14:textId="77777777" w:rsidR="00861364" w:rsidRPr="00C902C8" w:rsidRDefault="00861364" w:rsidP="00861364">
      <w:pPr>
        <w:spacing w:after="0" w:line="240" w:lineRule="auto"/>
        <w:jc w:val="both"/>
        <w:rPr>
          <w:rFonts w:ascii="Times New Roman" w:hAnsi="Times New Roman" w:cs="Times New Roman"/>
          <w:sz w:val="24"/>
          <w:szCs w:val="24"/>
        </w:rPr>
      </w:pPr>
    </w:p>
    <w:p w14:paraId="1A1C9097" w14:textId="77777777" w:rsidR="00AB3BB5" w:rsidRDefault="00AB3BB5" w:rsidP="00861364">
      <w:pPr>
        <w:spacing w:after="0" w:line="240" w:lineRule="auto"/>
        <w:jc w:val="both"/>
        <w:rPr>
          <w:rFonts w:ascii="Times New Roman" w:hAnsi="Times New Roman" w:cs="Times New Roman"/>
          <w:b/>
          <w:bCs/>
          <w:sz w:val="24"/>
          <w:szCs w:val="24"/>
        </w:rPr>
      </w:pPr>
    </w:p>
    <w:p w14:paraId="6D9124F8" w14:textId="14DA69E1"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Doorstep Banking Services for Senior Citizens and Differently Abled Persons</w:t>
      </w:r>
    </w:p>
    <w:p w14:paraId="74443800"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825463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RBI/2019-20/203 DOR.CO.Leg.BC.No.59/09.07.005/2019-20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4903B3AD" w14:textId="77777777" w:rsidR="00861364" w:rsidRPr="00C902C8" w:rsidRDefault="00861364" w:rsidP="00861364">
      <w:pPr>
        <w:spacing w:after="0" w:line="240" w:lineRule="auto"/>
        <w:jc w:val="both"/>
        <w:rPr>
          <w:rFonts w:ascii="Times New Roman" w:hAnsi="Times New Roman" w:cs="Times New Roman"/>
          <w:sz w:val="24"/>
          <w:szCs w:val="24"/>
        </w:rPr>
      </w:pPr>
    </w:p>
    <w:p w14:paraId="2E10CBE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(including RRBs)/ All Payments Banks/ All Small Finance Banks/ All Local Area Banks</w:t>
      </w:r>
    </w:p>
    <w:p w14:paraId="556AADB6" w14:textId="77777777" w:rsidR="00861364" w:rsidRPr="00C902C8" w:rsidRDefault="00861364" w:rsidP="00861364">
      <w:pPr>
        <w:spacing w:after="0" w:line="240" w:lineRule="auto"/>
        <w:jc w:val="both"/>
        <w:rPr>
          <w:rFonts w:ascii="Times New Roman" w:hAnsi="Times New Roman" w:cs="Times New Roman"/>
          <w:sz w:val="24"/>
          <w:szCs w:val="24"/>
        </w:rPr>
      </w:pPr>
    </w:p>
    <w:p w14:paraId="78970EA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 2(g) of our circular DBR.No.Leg.BC.96/09.07.005/2017-18 dated November 9, 2017 on the captioned subject.</w:t>
      </w:r>
    </w:p>
    <w:p w14:paraId="561B3B2C" w14:textId="77777777" w:rsidR="00861364" w:rsidRPr="00C902C8" w:rsidRDefault="00861364" w:rsidP="00861364">
      <w:pPr>
        <w:spacing w:after="0" w:line="240" w:lineRule="auto"/>
        <w:jc w:val="both"/>
        <w:rPr>
          <w:rFonts w:ascii="Times New Roman" w:hAnsi="Times New Roman" w:cs="Times New Roman"/>
          <w:sz w:val="24"/>
          <w:szCs w:val="24"/>
        </w:rPr>
      </w:pPr>
    </w:p>
    <w:p w14:paraId="6DB9DA8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Banks were advised to make concerted efforts to offer certain basic banking services to senior citizens of more than 70 years of age and differently abled persons at the doorstep of such customers. Although banks were advised to implement the instructions by December 31, 2017, it has been observed that such services are yet to be offered by banks or were restricted to select branches.</w:t>
      </w:r>
    </w:p>
    <w:p w14:paraId="0E015B31" w14:textId="77777777" w:rsidR="00861364" w:rsidRPr="00C902C8" w:rsidRDefault="00861364" w:rsidP="00861364">
      <w:pPr>
        <w:spacing w:after="0" w:line="240" w:lineRule="auto"/>
        <w:jc w:val="both"/>
        <w:rPr>
          <w:rFonts w:ascii="Times New Roman" w:hAnsi="Times New Roman" w:cs="Times New Roman"/>
          <w:sz w:val="24"/>
          <w:szCs w:val="24"/>
        </w:rPr>
      </w:pPr>
    </w:p>
    <w:p w14:paraId="65141AE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order to make the doorstep banking services for senior citizens and differently abled persons effective, banks are advised to incorporate the following aspects in their Board approved policy for such services:</w:t>
      </w:r>
    </w:p>
    <w:p w14:paraId="4F57E66E" w14:textId="77777777" w:rsidR="00861364" w:rsidRPr="00C902C8" w:rsidRDefault="00861364" w:rsidP="00861364">
      <w:pPr>
        <w:spacing w:after="0" w:line="240" w:lineRule="auto"/>
        <w:jc w:val="both"/>
        <w:rPr>
          <w:rFonts w:ascii="Times New Roman" w:hAnsi="Times New Roman" w:cs="Times New Roman"/>
          <w:sz w:val="24"/>
          <w:szCs w:val="24"/>
        </w:rPr>
      </w:pPr>
    </w:p>
    <w:p w14:paraId="7A2FE8BE" w14:textId="77777777" w:rsidR="00861364" w:rsidRPr="00C902C8" w:rsidRDefault="00861364" w:rsidP="00AF11B1">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shall offer the doorstep banking services on pan India basis. Banks should develop a Board approved framework for determining the nature of branches/centres where these services will be provided mandatorily and those where it will be provided on a best effort basis and make the policy public. The list of branches offering such doorstep banking services shall be displayed/updated on the bank’s website regularly.</w:t>
      </w:r>
    </w:p>
    <w:p w14:paraId="1B00B89D" w14:textId="77777777" w:rsidR="00861364" w:rsidRPr="00C902C8" w:rsidRDefault="00861364" w:rsidP="00861364">
      <w:pPr>
        <w:spacing w:after="0" w:line="240" w:lineRule="auto"/>
        <w:jc w:val="both"/>
        <w:rPr>
          <w:rFonts w:ascii="Times New Roman" w:hAnsi="Times New Roman" w:cs="Times New Roman"/>
          <w:sz w:val="24"/>
          <w:szCs w:val="24"/>
        </w:rPr>
      </w:pPr>
    </w:p>
    <w:p w14:paraId="05B70E9E" w14:textId="77777777" w:rsidR="00861364" w:rsidRPr="00C902C8" w:rsidRDefault="00861364" w:rsidP="00AF11B1">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shall give adequate publicity to the availability of these services in their public awareness campaigns. The charges, in this regard, shall also be prominently indicated in brochures and published in their websites.</w:t>
      </w:r>
    </w:p>
    <w:p w14:paraId="5AB883FC" w14:textId="77777777" w:rsidR="00861364" w:rsidRPr="00C902C8" w:rsidRDefault="00861364" w:rsidP="00861364">
      <w:pPr>
        <w:spacing w:after="0" w:line="240" w:lineRule="auto"/>
        <w:jc w:val="both"/>
        <w:rPr>
          <w:rFonts w:ascii="Times New Roman" w:hAnsi="Times New Roman" w:cs="Times New Roman"/>
          <w:sz w:val="24"/>
          <w:szCs w:val="24"/>
        </w:rPr>
      </w:pPr>
    </w:p>
    <w:p w14:paraId="73AC4A6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Banks shall report the progress made in this regard to the Customer Service Committee of the Board every quarter. Further, they must ensure strict compliance with the above instructions by April 30, 2020.</w:t>
      </w:r>
    </w:p>
    <w:p w14:paraId="33AFA59E"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4716175" w14:textId="77777777" w:rsidR="00861364" w:rsidRPr="00C902C8" w:rsidRDefault="00861364" w:rsidP="00861364">
      <w:pPr>
        <w:spacing w:after="0" w:line="240" w:lineRule="auto"/>
        <w:jc w:val="both"/>
        <w:rPr>
          <w:rFonts w:ascii="Times New Roman" w:hAnsi="Times New Roman" w:cs="Times New Roman"/>
          <w:sz w:val="24"/>
          <w:szCs w:val="24"/>
        </w:rPr>
      </w:pPr>
    </w:p>
    <w:p w14:paraId="23E929CC" w14:textId="77777777" w:rsidR="00AC7D4C" w:rsidRDefault="00AC7D4C" w:rsidP="00AC7D4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1" w:name="_Hlk43631866"/>
      <w:bookmarkEnd w:id="0"/>
    </w:p>
    <w:p w14:paraId="42F52F9B" w14:textId="77777777" w:rsidR="00AC7D4C" w:rsidRDefault="00AC7D4C" w:rsidP="00AC7D4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2" w:name="_Hlk44950138"/>
      <w:r>
        <w:rPr>
          <w:rFonts w:ascii="Times New Roman" w:eastAsia="Times New Roman" w:hAnsi="Times New Roman" w:cs="Times New Roman"/>
          <w:b/>
          <w:bCs/>
          <w:color w:val="000000"/>
          <w:sz w:val="24"/>
          <w:szCs w:val="24"/>
          <w:lang w:eastAsia="en-IN"/>
        </w:rPr>
        <w:t>COVID-19 – Regulatory Package (Revised).</w:t>
      </w:r>
    </w:p>
    <w:p w14:paraId="53302580"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91B7152"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RBI/2019-20/186 DOR.No.BP.BC.47/21.04.048/2019-20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t>March 27, 2020</w:t>
      </w:r>
    </w:p>
    <w:p w14:paraId="2CD73E1E"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876CAF5"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6054EC79"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500C522"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799787C2"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5401895" w14:textId="77777777" w:rsidR="00AC7D4C" w:rsidRDefault="00AC7D4C" w:rsidP="00AC7D4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(i) Rescheduling of Payments – Term Loans and Working Capital Facilities</w:t>
      </w:r>
    </w:p>
    <w:p w14:paraId="46FBF6C0"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B360FCC"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7408DC19"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2F0A6DE"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353E48D3"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17C86A4"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1462011"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A48E186" w14:textId="77777777" w:rsidR="00AC7D4C" w:rsidRDefault="00AC7D4C" w:rsidP="00AC7D4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(ii) Easing of Working Capital Financing</w:t>
      </w:r>
    </w:p>
    <w:p w14:paraId="6900B81B"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BA3C943"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356CE6EF"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DE41F44" w14:textId="77777777" w:rsidR="00AC7D4C" w:rsidRDefault="00AC7D4C" w:rsidP="00AC7D4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Classification as Special Mention Account (SMA) and Non-Performing Asset (NPA)</w:t>
      </w:r>
    </w:p>
    <w:p w14:paraId="23902F46" w14:textId="77777777" w:rsidR="00AC7D4C" w:rsidRDefault="00AC7D4C" w:rsidP="00AC7D4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6D72536A"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55F6F22E"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DB5C578"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416588FA"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F44A660"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7. The rescheduling of payments, including interest, will not qualify as a default for the purposes of supervisory reporting and reporting to Credit Information Companies (CICs) by </w:t>
      </w:r>
      <w:r>
        <w:rPr>
          <w:rFonts w:ascii="Times New Roman" w:eastAsia="Times New Roman" w:hAnsi="Times New Roman" w:cs="Times New Roman"/>
          <w:color w:val="000000"/>
          <w:sz w:val="24"/>
          <w:szCs w:val="24"/>
          <w:lang w:eastAsia="en-IN"/>
        </w:rPr>
        <w:lastRenderedPageBreak/>
        <w:t>the lending institutions. CICs shall ensure that the actions taken by lending institutions pursuant to the above announcements do not adversely impact the credit history of the beneficiaries.</w:t>
      </w:r>
    </w:p>
    <w:p w14:paraId="37AF9C9F"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7186164" w14:textId="77777777" w:rsidR="00AC7D4C" w:rsidRDefault="00AC7D4C" w:rsidP="00AC7D4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Other Conditions</w:t>
      </w:r>
    </w:p>
    <w:p w14:paraId="2D5D2D2B"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A9A9D6A"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4895E0B2"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8D9E9CD"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1AEB2ED9"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B70F859"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47F44D0B" w14:textId="77777777" w:rsidR="00AC7D4C" w:rsidRDefault="00AC7D4C" w:rsidP="00AC7D4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1"/>
    <w:p w14:paraId="023C6941" w14:textId="77777777" w:rsidR="00AC7D4C" w:rsidRDefault="00AC7D4C" w:rsidP="00AC7D4C">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29E9650" w14:textId="77777777" w:rsidR="00AC7D4C" w:rsidRDefault="00AC7D4C" w:rsidP="00AC7D4C">
      <w:pPr>
        <w:spacing w:after="0" w:line="240" w:lineRule="auto"/>
        <w:jc w:val="both"/>
        <w:rPr>
          <w:rFonts w:ascii="Times New Roman" w:hAnsi="Times New Roman" w:cs="Times New Roman"/>
          <w:b/>
          <w:bCs/>
          <w:sz w:val="24"/>
          <w:szCs w:val="24"/>
        </w:rPr>
      </w:pPr>
    </w:p>
    <w:p w14:paraId="78F961A3"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COVID19 Regulatory Package – Review of Resolution Timelines under the Prudential Framework on Resolution of Stressed Assets</w:t>
      </w:r>
    </w:p>
    <w:p w14:paraId="1223B49C" w14:textId="77777777" w:rsidR="00AC7D4C" w:rsidRDefault="00AC7D4C" w:rsidP="00AC7D4C">
      <w:pPr>
        <w:spacing w:after="0" w:line="240" w:lineRule="auto"/>
        <w:jc w:val="both"/>
        <w:rPr>
          <w:rFonts w:ascii="Times New Roman" w:hAnsi="Times New Roman" w:cs="Times New Roman"/>
          <w:b/>
          <w:bCs/>
          <w:sz w:val="24"/>
          <w:szCs w:val="24"/>
        </w:rPr>
      </w:pPr>
    </w:p>
    <w:p w14:paraId="7ED48B07"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RBI/2019-20/219 DOR.No.BP.BC.62/21.04.048/2019-20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17, 2020</w:t>
      </w:r>
    </w:p>
    <w:p w14:paraId="3AE67AE3" w14:textId="77777777" w:rsidR="00AC7D4C" w:rsidRDefault="00AC7D4C" w:rsidP="00AC7D4C">
      <w:pPr>
        <w:spacing w:after="0" w:line="240" w:lineRule="auto"/>
        <w:jc w:val="both"/>
        <w:rPr>
          <w:rFonts w:ascii="Times New Roman" w:hAnsi="Times New Roman" w:cs="Times New Roman"/>
          <w:sz w:val="24"/>
          <w:szCs w:val="24"/>
        </w:rPr>
      </w:pPr>
    </w:p>
    <w:p w14:paraId="37052D4F"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5CA7F72E" w14:textId="77777777" w:rsidR="00AC7D4C" w:rsidRDefault="00AC7D4C" w:rsidP="00AC7D4C">
      <w:pPr>
        <w:spacing w:after="0" w:line="240" w:lineRule="auto"/>
        <w:jc w:val="both"/>
        <w:rPr>
          <w:rFonts w:ascii="Times New Roman" w:hAnsi="Times New Roman" w:cs="Times New Roman"/>
          <w:sz w:val="24"/>
          <w:szCs w:val="24"/>
        </w:rPr>
      </w:pPr>
    </w:p>
    <w:p w14:paraId="32C2847E"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Governor’s Statement of April 17, 2020 announcing certain additional regulatory measures aimed at alleviating the lingering impact of Covid19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6B619503" w14:textId="77777777" w:rsidR="00AC7D4C" w:rsidRDefault="00AC7D4C" w:rsidP="00AC7D4C">
      <w:pPr>
        <w:spacing w:after="0" w:line="240" w:lineRule="auto"/>
        <w:jc w:val="both"/>
        <w:rPr>
          <w:rFonts w:ascii="Times New Roman" w:hAnsi="Times New Roman" w:cs="Times New Roman"/>
          <w:sz w:val="24"/>
          <w:szCs w:val="24"/>
        </w:rPr>
      </w:pPr>
    </w:p>
    <w:p w14:paraId="199E799F"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6FAC8108" w14:textId="77777777" w:rsidR="00AC7D4C" w:rsidRDefault="00AC7D4C" w:rsidP="00AC7D4C">
      <w:pPr>
        <w:spacing w:after="0" w:line="240" w:lineRule="auto"/>
        <w:jc w:val="both"/>
        <w:rPr>
          <w:rFonts w:ascii="Times New Roman" w:hAnsi="Times New Roman" w:cs="Times New Roman"/>
          <w:sz w:val="24"/>
          <w:szCs w:val="24"/>
        </w:rPr>
      </w:pPr>
    </w:p>
    <w:p w14:paraId="47DEF98E"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50189AEC" w14:textId="77777777" w:rsidR="00AC7D4C" w:rsidRDefault="00AC7D4C" w:rsidP="00AC7D4C">
      <w:pPr>
        <w:spacing w:after="0" w:line="240" w:lineRule="auto"/>
        <w:jc w:val="both"/>
        <w:rPr>
          <w:rFonts w:ascii="Times New Roman" w:hAnsi="Times New Roman" w:cs="Times New Roman"/>
          <w:sz w:val="24"/>
          <w:szCs w:val="24"/>
        </w:rPr>
      </w:pPr>
    </w:p>
    <w:p w14:paraId="5AFC1D82"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In respect of accounts where the Review Period was over, but the 180-day resolution period had not expired as on March 1, 2020, the timeline for resolution shall get extended by 90 days from the date on which the 180-day period was originally set to expire.</w:t>
      </w:r>
    </w:p>
    <w:p w14:paraId="1504F2E6" w14:textId="77777777" w:rsidR="00AC7D4C" w:rsidRDefault="00AC7D4C" w:rsidP="00AC7D4C">
      <w:pPr>
        <w:spacing w:after="0" w:line="240" w:lineRule="auto"/>
        <w:jc w:val="both"/>
        <w:rPr>
          <w:rFonts w:ascii="Times New Roman" w:hAnsi="Times New Roman" w:cs="Times New Roman"/>
          <w:sz w:val="24"/>
          <w:szCs w:val="24"/>
        </w:rPr>
      </w:pPr>
    </w:p>
    <w:p w14:paraId="79E71FE4"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32BF72D4" w14:textId="77777777" w:rsidR="00AC7D4C" w:rsidRDefault="00AC7D4C" w:rsidP="00AC7D4C">
      <w:pPr>
        <w:spacing w:after="0" w:line="240" w:lineRule="auto"/>
        <w:jc w:val="both"/>
        <w:rPr>
          <w:rFonts w:ascii="Times New Roman" w:hAnsi="Times New Roman" w:cs="Times New Roman"/>
          <w:sz w:val="24"/>
          <w:szCs w:val="24"/>
        </w:rPr>
      </w:pPr>
    </w:p>
    <w:p w14:paraId="75A4F260"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In respect of all other accounts, the provisions of the Prudential Framework shall be in force without any modifications.</w:t>
      </w:r>
    </w:p>
    <w:p w14:paraId="53F33207" w14:textId="77777777" w:rsidR="00AC7D4C" w:rsidRDefault="00AC7D4C" w:rsidP="00AC7D4C">
      <w:pPr>
        <w:spacing w:after="0" w:line="240" w:lineRule="auto"/>
        <w:jc w:val="both"/>
        <w:rPr>
          <w:rFonts w:ascii="Times New Roman" w:hAnsi="Times New Roman" w:cs="Times New Roman"/>
          <w:sz w:val="24"/>
          <w:szCs w:val="24"/>
        </w:rPr>
      </w:pPr>
    </w:p>
    <w:p w14:paraId="33D318C6"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lending institutions shall make relevant disclosures in respect of accounts where the resolution period was extended in the ‘Notes to Accounts’ while preparing their financial statements for the half year ending September 30, 2020 as well as the financial years FY2020 and FY2021.</w:t>
      </w:r>
    </w:p>
    <w:p w14:paraId="446A42CA" w14:textId="77777777" w:rsidR="00AC7D4C" w:rsidRDefault="00AC7D4C" w:rsidP="00AC7D4C">
      <w:pPr>
        <w:pBdr>
          <w:bottom w:val="single" w:sz="12" w:space="1" w:color="auto"/>
        </w:pBdr>
        <w:spacing w:after="0" w:line="240" w:lineRule="auto"/>
        <w:jc w:val="both"/>
        <w:rPr>
          <w:rFonts w:ascii="Times New Roman" w:hAnsi="Times New Roman" w:cs="Times New Roman"/>
          <w:sz w:val="24"/>
          <w:szCs w:val="24"/>
        </w:rPr>
      </w:pPr>
    </w:p>
    <w:p w14:paraId="3B911793" w14:textId="77777777" w:rsidR="00AC7D4C" w:rsidRDefault="00AC7D4C" w:rsidP="00AC7D4C">
      <w:pPr>
        <w:spacing w:after="0" w:line="240" w:lineRule="auto"/>
        <w:jc w:val="both"/>
        <w:rPr>
          <w:rFonts w:ascii="Times New Roman" w:hAnsi="Times New Roman" w:cs="Times New Roman"/>
          <w:sz w:val="24"/>
          <w:szCs w:val="24"/>
        </w:rPr>
      </w:pPr>
    </w:p>
    <w:p w14:paraId="48423439" w14:textId="77777777" w:rsidR="00AC7D4C" w:rsidRDefault="00AC7D4C" w:rsidP="00AC7D4C">
      <w:pPr>
        <w:spacing w:after="0" w:line="240" w:lineRule="auto"/>
        <w:jc w:val="both"/>
        <w:rPr>
          <w:rFonts w:ascii="Times New Roman" w:hAnsi="Times New Roman" w:cs="Times New Roman"/>
          <w:sz w:val="24"/>
          <w:szCs w:val="24"/>
        </w:rPr>
      </w:pPr>
    </w:p>
    <w:p w14:paraId="2EDA5609" w14:textId="77777777" w:rsidR="00AC7D4C" w:rsidRDefault="00AC7D4C" w:rsidP="00AC7D4C">
      <w:pPr>
        <w:spacing w:after="0" w:line="240" w:lineRule="auto"/>
        <w:jc w:val="both"/>
        <w:rPr>
          <w:rFonts w:ascii="Times New Roman" w:hAnsi="Times New Roman" w:cs="Times New Roman"/>
          <w:sz w:val="24"/>
          <w:szCs w:val="24"/>
        </w:rPr>
      </w:pPr>
    </w:p>
    <w:p w14:paraId="09235D42" w14:textId="77777777" w:rsidR="00AC7D4C" w:rsidRDefault="00AC7D4C" w:rsidP="00AC7D4C">
      <w:pPr>
        <w:spacing w:after="0" w:line="240" w:lineRule="auto"/>
        <w:jc w:val="both"/>
        <w:rPr>
          <w:rFonts w:ascii="Times New Roman" w:hAnsi="Times New Roman" w:cs="Times New Roman"/>
          <w:sz w:val="24"/>
          <w:szCs w:val="24"/>
        </w:rPr>
      </w:pPr>
    </w:p>
    <w:p w14:paraId="2CBD531E" w14:textId="77777777" w:rsidR="00AC7D4C" w:rsidRDefault="00AC7D4C" w:rsidP="00AC7D4C">
      <w:pPr>
        <w:spacing w:after="0" w:line="240" w:lineRule="auto"/>
        <w:jc w:val="both"/>
        <w:rPr>
          <w:rFonts w:ascii="Times New Roman" w:hAnsi="Times New Roman" w:cs="Times New Roman"/>
          <w:sz w:val="24"/>
          <w:szCs w:val="24"/>
        </w:rPr>
      </w:pPr>
    </w:p>
    <w:p w14:paraId="762A6AD4" w14:textId="77777777" w:rsidR="00AC7D4C" w:rsidRDefault="00AC7D4C" w:rsidP="00AC7D4C">
      <w:pPr>
        <w:spacing w:after="0" w:line="240" w:lineRule="auto"/>
        <w:jc w:val="both"/>
        <w:rPr>
          <w:rFonts w:ascii="Times New Roman" w:hAnsi="Times New Roman" w:cs="Times New Roman"/>
          <w:b/>
          <w:bCs/>
          <w:sz w:val="24"/>
          <w:szCs w:val="24"/>
        </w:rPr>
      </w:pPr>
      <w:bookmarkStart w:id="3" w:name="_Hlk43631894"/>
    </w:p>
    <w:p w14:paraId="54514B6A"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 19 Regulatory Package - Asset Classification and Provisioning</w:t>
      </w:r>
    </w:p>
    <w:p w14:paraId="4DC6F9D9" w14:textId="77777777" w:rsidR="00AC7D4C" w:rsidRDefault="00AC7D4C" w:rsidP="00AC7D4C">
      <w:pPr>
        <w:spacing w:after="0" w:line="240" w:lineRule="auto"/>
        <w:jc w:val="both"/>
        <w:rPr>
          <w:rFonts w:ascii="Times New Roman" w:hAnsi="Times New Roman" w:cs="Times New Roman"/>
          <w:b/>
          <w:bCs/>
          <w:sz w:val="24"/>
          <w:szCs w:val="24"/>
        </w:rPr>
      </w:pPr>
    </w:p>
    <w:p w14:paraId="656BD997"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RBI/2019-20/220 DOR.No.BP.BC.63/21.04.048/2019-20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17, 2020</w:t>
      </w:r>
    </w:p>
    <w:p w14:paraId="758754F0" w14:textId="77777777" w:rsidR="00AC7D4C" w:rsidRDefault="00AC7D4C" w:rsidP="00AC7D4C">
      <w:pPr>
        <w:spacing w:after="0" w:line="240" w:lineRule="auto"/>
        <w:jc w:val="both"/>
        <w:rPr>
          <w:rFonts w:ascii="Times New Roman" w:hAnsi="Times New Roman" w:cs="Times New Roman"/>
          <w:sz w:val="24"/>
          <w:szCs w:val="24"/>
        </w:rPr>
      </w:pPr>
    </w:p>
    <w:p w14:paraId="63D26848"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19F77DFB" w14:textId="77777777" w:rsidR="00AC7D4C" w:rsidRDefault="00AC7D4C" w:rsidP="00AC7D4C">
      <w:pPr>
        <w:spacing w:after="0" w:line="240" w:lineRule="auto"/>
        <w:jc w:val="both"/>
        <w:rPr>
          <w:rFonts w:ascii="Times New Roman" w:hAnsi="Times New Roman" w:cs="Times New Roman"/>
          <w:sz w:val="24"/>
          <w:szCs w:val="24"/>
        </w:rPr>
      </w:pPr>
    </w:p>
    <w:p w14:paraId="46A8C845"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5417E0D9" w14:textId="77777777" w:rsidR="00AC7D4C" w:rsidRDefault="00AC7D4C" w:rsidP="00AC7D4C">
      <w:pPr>
        <w:spacing w:after="0" w:line="240" w:lineRule="auto"/>
        <w:jc w:val="both"/>
        <w:rPr>
          <w:rFonts w:ascii="Times New Roman" w:hAnsi="Times New Roman" w:cs="Times New Roman"/>
          <w:sz w:val="24"/>
          <w:szCs w:val="24"/>
        </w:rPr>
      </w:pPr>
    </w:p>
    <w:p w14:paraId="3319C03F"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Asset Classification under the Prudential norms on Income Recognition, Asset Classification (IRAC)</w:t>
      </w:r>
    </w:p>
    <w:p w14:paraId="7DF0FB70" w14:textId="77777777" w:rsidR="00AC7D4C" w:rsidRDefault="00AC7D4C" w:rsidP="00AC7D4C">
      <w:pPr>
        <w:spacing w:after="0" w:line="240" w:lineRule="auto"/>
        <w:jc w:val="both"/>
        <w:rPr>
          <w:rFonts w:ascii="Times New Roman" w:hAnsi="Times New Roman" w:cs="Times New Roman"/>
          <w:sz w:val="24"/>
          <w:szCs w:val="24"/>
        </w:rPr>
      </w:pPr>
    </w:p>
    <w:p w14:paraId="20EAEDA0"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6FAAE95D" w14:textId="77777777" w:rsidR="00AC7D4C" w:rsidRDefault="00AC7D4C" w:rsidP="00AC7D4C">
      <w:pPr>
        <w:spacing w:after="0" w:line="240" w:lineRule="auto"/>
        <w:jc w:val="both"/>
        <w:rPr>
          <w:rFonts w:ascii="Times New Roman" w:hAnsi="Times New Roman" w:cs="Times New Roman"/>
          <w:sz w:val="24"/>
          <w:szCs w:val="24"/>
        </w:rPr>
      </w:pPr>
    </w:p>
    <w:p w14:paraId="0AC7979D"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including SMA, as on February 29, 2020, shall be excluded for the determination of out of order status.</w:t>
      </w:r>
    </w:p>
    <w:p w14:paraId="26101B35" w14:textId="77777777" w:rsidR="00AC7D4C" w:rsidRDefault="00AC7D4C" w:rsidP="00AC7D4C">
      <w:pPr>
        <w:spacing w:after="0" w:line="240" w:lineRule="auto"/>
        <w:jc w:val="both"/>
        <w:rPr>
          <w:rFonts w:ascii="Times New Roman" w:hAnsi="Times New Roman" w:cs="Times New Roman"/>
          <w:sz w:val="24"/>
          <w:szCs w:val="24"/>
        </w:rPr>
      </w:pPr>
    </w:p>
    <w:p w14:paraId="52F08A6F"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70FB976B" w14:textId="77777777" w:rsidR="00AC7D4C" w:rsidRDefault="00AC7D4C" w:rsidP="00AC7D4C">
      <w:pPr>
        <w:spacing w:after="0" w:line="240" w:lineRule="auto"/>
        <w:jc w:val="both"/>
        <w:rPr>
          <w:rFonts w:ascii="Times New Roman" w:hAnsi="Times New Roman" w:cs="Times New Roman"/>
          <w:sz w:val="24"/>
          <w:szCs w:val="24"/>
        </w:rPr>
      </w:pPr>
    </w:p>
    <w:p w14:paraId="7EECCE91"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Provisioning</w:t>
      </w:r>
    </w:p>
    <w:p w14:paraId="5DBD83B0" w14:textId="77777777" w:rsidR="00AC7D4C" w:rsidRDefault="00AC7D4C" w:rsidP="00AC7D4C">
      <w:pPr>
        <w:spacing w:after="0" w:line="240" w:lineRule="auto"/>
        <w:jc w:val="both"/>
        <w:rPr>
          <w:rFonts w:ascii="Times New Roman" w:hAnsi="Times New Roman" w:cs="Times New Roman"/>
          <w:sz w:val="24"/>
          <w:szCs w:val="24"/>
        </w:rPr>
      </w:pPr>
    </w:p>
    <w:p w14:paraId="4A71F03F"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101A7DA7" w14:textId="77777777" w:rsidR="00AC7D4C" w:rsidRDefault="00AC7D4C" w:rsidP="00AC7D4C">
      <w:pPr>
        <w:spacing w:after="0" w:line="240" w:lineRule="auto"/>
        <w:jc w:val="both"/>
        <w:rPr>
          <w:rFonts w:ascii="Times New Roman" w:hAnsi="Times New Roman" w:cs="Times New Roman"/>
          <w:sz w:val="24"/>
          <w:szCs w:val="24"/>
        </w:rPr>
      </w:pPr>
    </w:p>
    <w:p w14:paraId="63531E32"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Quarter ended March 31, 2020 – not less than 5 per cent</w:t>
      </w:r>
    </w:p>
    <w:p w14:paraId="06BA5CA7" w14:textId="77777777" w:rsidR="00AC7D4C" w:rsidRDefault="00AC7D4C" w:rsidP="00AC7D4C">
      <w:pPr>
        <w:spacing w:after="0" w:line="240" w:lineRule="auto"/>
        <w:jc w:val="both"/>
        <w:rPr>
          <w:rFonts w:ascii="Times New Roman" w:hAnsi="Times New Roman" w:cs="Times New Roman"/>
          <w:sz w:val="24"/>
          <w:szCs w:val="24"/>
        </w:rPr>
      </w:pPr>
    </w:p>
    <w:p w14:paraId="36812924"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Quarter ending June 30, 2020 – not less than 5 per cent</w:t>
      </w:r>
    </w:p>
    <w:p w14:paraId="141425F1" w14:textId="77777777" w:rsidR="00AC7D4C" w:rsidRDefault="00AC7D4C" w:rsidP="00AC7D4C">
      <w:pPr>
        <w:spacing w:after="0" w:line="240" w:lineRule="auto"/>
        <w:jc w:val="both"/>
        <w:rPr>
          <w:rFonts w:ascii="Times New Roman" w:hAnsi="Times New Roman" w:cs="Times New Roman"/>
          <w:sz w:val="24"/>
          <w:szCs w:val="24"/>
        </w:rPr>
      </w:pPr>
    </w:p>
    <w:p w14:paraId="64005C8D"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7CEB6A6E" w14:textId="77777777" w:rsidR="00AC7D4C" w:rsidRDefault="00AC7D4C" w:rsidP="00AC7D4C">
      <w:pPr>
        <w:spacing w:after="0" w:line="240" w:lineRule="auto"/>
        <w:jc w:val="both"/>
        <w:rPr>
          <w:rFonts w:ascii="Times New Roman" w:hAnsi="Times New Roman" w:cs="Times New Roman"/>
          <w:sz w:val="24"/>
          <w:szCs w:val="24"/>
        </w:rPr>
      </w:pPr>
    </w:p>
    <w:p w14:paraId="6E5EFCAA"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4D0FE597" w14:textId="77777777" w:rsidR="00AC7D4C" w:rsidRDefault="00AC7D4C" w:rsidP="00AC7D4C">
      <w:pPr>
        <w:spacing w:after="0" w:line="240" w:lineRule="auto"/>
        <w:jc w:val="both"/>
        <w:rPr>
          <w:rFonts w:ascii="Times New Roman" w:hAnsi="Times New Roman" w:cs="Times New Roman"/>
          <w:sz w:val="24"/>
          <w:szCs w:val="24"/>
        </w:rPr>
      </w:pPr>
    </w:p>
    <w:p w14:paraId="75E7B7FB"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All other provisions required to be maintained by lending institutions, including the provisions for accounts already classified as NPA as on February 29, 2020 as well as subsequent ageing in these accounts, shall continue to be made in the usual manner.</w:t>
      </w:r>
    </w:p>
    <w:p w14:paraId="558A0820" w14:textId="77777777" w:rsidR="00AC7D4C" w:rsidRDefault="00AC7D4C" w:rsidP="00AC7D4C">
      <w:pPr>
        <w:spacing w:after="0" w:line="240" w:lineRule="auto"/>
        <w:jc w:val="both"/>
        <w:rPr>
          <w:rFonts w:ascii="Times New Roman" w:hAnsi="Times New Roman" w:cs="Times New Roman"/>
          <w:sz w:val="24"/>
          <w:szCs w:val="24"/>
        </w:rPr>
      </w:pPr>
    </w:p>
    <w:p w14:paraId="2B669BDA"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Other Conditions</w:t>
      </w:r>
    </w:p>
    <w:p w14:paraId="1A75C713" w14:textId="77777777" w:rsidR="00AC7D4C" w:rsidRDefault="00AC7D4C" w:rsidP="00AC7D4C">
      <w:pPr>
        <w:spacing w:after="0" w:line="240" w:lineRule="auto"/>
        <w:jc w:val="both"/>
        <w:rPr>
          <w:rFonts w:ascii="Times New Roman" w:hAnsi="Times New Roman" w:cs="Times New Roman"/>
          <w:sz w:val="24"/>
          <w:szCs w:val="24"/>
        </w:rPr>
      </w:pPr>
    </w:p>
    <w:p w14:paraId="3362E551"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(CICs); i.e., the days past due and SMA status, where applicable, as on March 1, 2020 will remain unchanged till May 31, 2020.</w:t>
      </w:r>
    </w:p>
    <w:p w14:paraId="74041DDA" w14:textId="77777777" w:rsidR="00AC7D4C" w:rsidRDefault="00AC7D4C" w:rsidP="00AC7D4C">
      <w:pPr>
        <w:spacing w:after="0" w:line="240" w:lineRule="auto"/>
        <w:jc w:val="both"/>
        <w:rPr>
          <w:rFonts w:ascii="Times New Roman" w:hAnsi="Times New Roman" w:cs="Times New Roman"/>
          <w:sz w:val="24"/>
          <w:szCs w:val="24"/>
        </w:rPr>
      </w:pPr>
    </w:p>
    <w:p w14:paraId="5CFA34B2"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05C47E4A" w14:textId="77777777" w:rsidR="00AC7D4C" w:rsidRDefault="00AC7D4C" w:rsidP="00AC7D4C">
      <w:pPr>
        <w:spacing w:after="0" w:line="240" w:lineRule="auto"/>
        <w:jc w:val="both"/>
        <w:rPr>
          <w:rFonts w:ascii="Times New Roman" w:hAnsi="Times New Roman" w:cs="Times New Roman"/>
          <w:sz w:val="24"/>
          <w:szCs w:val="24"/>
        </w:rPr>
      </w:pPr>
    </w:p>
    <w:p w14:paraId="5E2D8664"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Respective amounts in SMA/overdue categories, where the moratorium/deferment was extended, in terms of paragraph 2 and 3;</w:t>
      </w:r>
    </w:p>
    <w:p w14:paraId="13899C4C" w14:textId="77777777" w:rsidR="00AC7D4C" w:rsidRDefault="00AC7D4C" w:rsidP="00AC7D4C">
      <w:pPr>
        <w:spacing w:after="0" w:line="240" w:lineRule="auto"/>
        <w:jc w:val="both"/>
        <w:rPr>
          <w:rFonts w:ascii="Times New Roman" w:hAnsi="Times New Roman" w:cs="Times New Roman"/>
          <w:sz w:val="24"/>
          <w:szCs w:val="24"/>
        </w:rPr>
      </w:pPr>
    </w:p>
    <w:p w14:paraId="213DCDA7"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(ii) Respective amount where asset classification benefits is extended.</w:t>
      </w:r>
    </w:p>
    <w:p w14:paraId="5B07426E" w14:textId="77777777" w:rsidR="00AC7D4C" w:rsidRDefault="00AC7D4C" w:rsidP="00AC7D4C">
      <w:pPr>
        <w:spacing w:after="0" w:line="240" w:lineRule="auto"/>
        <w:jc w:val="both"/>
        <w:rPr>
          <w:rFonts w:ascii="Times New Roman" w:hAnsi="Times New Roman" w:cs="Times New Roman"/>
          <w:sz w:val="24"/>
          <w:szCs w:val="24"/>
        </w:rPr>
      </w:pPr>
    </w:p>
    <w:p w14:paraId="408C49BB"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Provisions made during the Q4FY2020 and Q1FY2021 in terms of paragraph 5;</w:t>
      </w:r>
    </w:p>
    <w:p w14:paraId="60F5679E" w14:textId="77777777" w:rsidR="00AC7D4C" w:rsidRDefault="00AC7D4C" w:rsidP="00AC7D4C">
      <w:pPr>
        <w:spacing w:after="0" w:line="240" w:lineRule="auto"/>
        <w:jc w:val="both"/>
        <w:rPr>
          <w:rFonts w:ascii="Times New Roman" w:hAnsi="Times New Roman" w:cs="Times New Roman"/>
          <w:sz w:val="24"/>
          <w:szCs w:val="24"/>
        </w:rPr>
      </w:pPr>
    </w:p>
    <w:p w14:paraId="41950CB0"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Provisions adjusted during the respective accounting periods against slippages and the residual provisions in terms of paragraph 6.</w:t>
      </w:r>
    </w:p>
    <w:bookmarkEnd w:id="3"/>
    <w:p w14:paraId="0E14922F" w14:textId="77777777" w:rsidR="00AC7D4C" w:rsidRDefault="00AC7D4C" w:rsidP="00AC7D4C">
      <w:pPr>
        <w:pBdr>
          <w:bottom w:val="single" w:sz="12" w:space="1" w:color="auto"/>
        </w:pBdr>
        <w:spacing w:after="0" w:line="240" w:lineRule="auto"/>
        <w:jc w:val="both"/>
        <w:rPr>
          <w:rFonts w:ascii="Times New Roman" w:hAnsi="Times New Roman" w:cs="Times New Roman"/>
          <w:sz w:val="24"/>
          <w:szCs w:val="24"/>
        </w:rPr>
      </w:pPr>
    </w:p>
    <w:p w14:paraId="4638CB2C" w14:textId="77777777" w:rsidR="00AC7D4C" w:rsidRDefault="00AC7D4C" w:rsidP="00AC7D4C">
      <w:pPr>
        <w:spacing w:after="0" w:line="240" w:lineRule="auto"/>
        <w:jc w:val="both"/>
        <w:rPr>
          <w:rFonts w:ascii="Times New Roman" w:hAnsi="Times New Roman" w:cs="Times New Roman"/>
          <w:b/>
          <w:bCs/>
          <w:sz w:val="24"/>
          <w:szCs w:val="24"/>
        </w:rPr>
      </w:pPr>
    </w:p>
    <w:p w14:paraId="0BD7365F" w14:textId="77777777" w:rsidR="00AC7D4C" w:rsidRDefault="00AC7D4C" w:rsidP="00AC7D4C">
      <w:pPr>
        <w:spacing w:after="0" w:line="240" w:lineRule="auto"/>
        <w:jc w:val="both"/>
        <w:rPr>
          <w:rFonts w:ascii="Times New Roman" w:hAnsi="Times New Roman" w:cs="Times New Roman"/>
          <w:b/>
          <w:bCs/>
          <w:sz w:val="24"/>
          <w:szCs w:val="24"/>
        </w:rPr>
      </w:pPr>
    </w:p>
    <w:p w14:paraId="5A4D96C1"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COVID-19 – Regulatory Package </w:t>
      </w:r>
    </w:p>
    <w:p w14:paraId="6D9D4573" w14:textId="77777777" w:rsidR="00AC7D4C" w:rsidRDefault="00AC7D4C" w:rsidP="00AC7D4C">
      <w:pPr>
        <w:spacing w:after="0" w:line="240" w:lineRule="auto"/>
        <w:jc w:val="both"/>
        <w:rPr>
          <w:rFonts w:ascii="Times New Roman" w:hAnsi="Times New Roman" w:cs="Times New Roman"/>
          <w:b/>
          <w:bCs/>
          <w:sz w:val="24"/>
          <w:szCs w:val="24"/>
        </w:rPr>
      </w:pPr>
    </w:p>
    <w:p w14:paraId="457E36BA"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RBI/2019-20/244 DOR.No.BP.BC.71/21.04.048/2019-20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23, 2020</w:t>
      </w:r>
    </w:p>
    <w:p w14:paraId="1606516B" w14:textId="77777777" w:rsidR="00AC7D4C" w:rsidRDefault="00AC7D4C" w:rsidP="00AC7D4C">
      <w:pPr>
        <w:spacing w:after="0" w:line="240" w:lineRule="auto"/>
        <w:jc w:val="both"/>
        <w:rPr>
          <w:rFonts w:ascii="Times New Roman" w:hAnsi="Times New Roman" w:cs="Times New Roman"/>
          <w:sz w:val="24"/>
          <w:szCs w:val="24"/>
        </w:rPr>
      </w:pPr>
    </w:p>
    <w:p w14:paraId="0B6E332A"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1DAD9C11" w14:textId="77777777" w:rsidR="00AC7D4C" w:rsidRDefault="00AC7D4C" w:rsidP="00AC7D4C">
      <w:pPr>
        <w:spacing w:after="0" w:line="240" w:lineRule="auto"/>
        <w:jc w:val="both"/>
        <w:rPr>
          <w:rFonts w:ascii="Times New Roman" w:hAnsi="Times New Roman" w:cs="Times New Roman"/>
          <w:sz w:val="24"/>
          <w:szCs w:val="24"/>
        </w:rPr>
      </w:pPr>
    </w:p>
    <w:p w14:paraId="2848E86E"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10099CE7" w14:textId="77777777" w:rsidR="00AC7D4C" w:rsidRDefault="00AC7D4C" w:rsidP="00AC7D4C">
      <w:pPr>
        <w:spacing w:after="0" w:line="240" w:lineRule="auto"/>
        <w:jc w:val="both"/>
        <w:rPr>
          <w:rFonts w:ascii="Times New Roman" w:hAnsi="Times New Roman" w:cs="Times New Roman"/>
          <w:sz w:val="24"/>
          <w:szCs w:val="24"/>
        </w:rPr>
      </w:pPr>
    </w:p>
    <w:p w14:paraId="5BD514B2"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Rescheduling of Payments – Term Loans and Working Capital Facilities</w:t>
      </w:r>
    </w:p>
    <w:p w14:paraId="1887D525" w14:textId="77777777" w:rsidR="00AC7D4C" w:rsidRDefault="00AC7D4C" w:rsidP="00AC7D4C">
      <w:pPr>
        <w:spacing w:after="0" w:line="240" w:lineRule="auto"/>
        <w:jc w:val="both"/>
        <w:rPr>
          <w:rFonts w:ascii="Times New Roman" w:hAnsi="Times New Roman" w:cs="Times New Roman"/>
          <w:sz w:val="24"/>
          <w:szCs w:val="24"/>
        </w:rPr>
      </w:pPr>
    </w:p>
    <w:p w14:paraId="2E08B62C"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1F4185A3" w14:textId="77777777" w:rsidR="00AC7D4C" w:rsidRDefault="00AC7D4C" w:rsidP="00AC7D4C">
      <w:pPr>
        <w:spacing w:after="0" w:line="240" w:lineRule="auto"/>
        <w:jc w:val="both"/>
        <w:rPr>
          <w:rFonts w:ascii="Times New Roman" w:hAnsi="Times New Roman" w:cs="Times New Roman"/>
          <w:sz w:val="24"/>
          <w:szCs w:val="24"/>
        </w:rPr>
      </w:pPr>
    </w:p>
    <w:p w14:paraId="2FB074EA"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1F81FF6A" w14:textId="77777777" w:rsidR="00AC7D4C" w:rsidRDefault="00AC7D4C" w:rsidP="00AC7D4C">
      <w:pPr>
        <w:spacing w:after="0" w:line="240" w:lineRule="auto"/>
        <w:jc w:val="both"/>
        <w:rPr>
          <w:rFonts w:ascii="Times New Roman" w:hAnsi="Times New Roman" w:cs="Times New Roman"/>
          <w:sz w:val="24"/>
          <w:szCs w:val="24"/>
        </w:rPr>
      </w:pPr>
    </w:p>
    <w:p w14:paraId="59304725" w14:textId="77777777" w:rsidR="00AC7D4C" w:rsidRDefault="00AC7D4C" w:rsidP="00AC7D4C">
      <w:pPr>
        <w:spacing w:after="0" w:line="240" w:lineRule="auto"/>
        <w:jc w:val="both"/>
        <w:rPr>
          <w:rFonts w:ascii="Times New Roman" w:hAnsi="Times New Roman" w:cs="Times New Roman"/>
          <w:sz w:val="24"/>
          <w:szCs w:val="24"/>
        </w:rPr>
      </w:pPr>
    </w:p>
    <w:p w14:paraId="2C2634C7"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Easing of Working Capital Financing</w:t>
      </w:r>
    </w:p>
    <w:p w14:paraId="50C38411" w14:textId="77777777" w:rsidR="00AC7D4C" w:rsidRDefault="00AC7D4C" w:rsidP="00AC7D4C">
      <w:pPr>
        <w:spacing w:after="0" w:line="240" w:lineRule="auto"/>
        <w:jc w:val="both"/>
        <w:rPr>
          <w:rFonts w:ascii="Times New Roman" w:hAnsi="Times New Roman" w:cs="Times New Roman"/>
          <w:sz w:val="24"/>
          <w:szCs w:val="24"/>
        </w:rPr>
      </w:pPr>
    </w:p>
    <w:p w14:paraId="77AE6ED7"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In respect of working capital facilities sanctioned in the form of CC/OD to borrowers facing stress on account of the economic fallout of the pandemic, lending institutions may, as a one-time measure,</w:t>
      </w:r>
    </w:p>
    <w:p w14:paraId="79DF392B" w14:textId="77777777" w:rsidR="00AC7D4C" w:rsidRDefault="00AC7D4C" w:rsidP="00AC7D4C">
      <w:pPr>
        <w:spacing w:after="0" w:line="240" w:lineRule="auto"/>
        <w:jc w:val="both"/>
        <w:rPr>
          <w:rFonts w:ascii="Times New Roman" w:hAnsi="Times New Roman" w:cs="Times New Roman"/>
          <w:sz w:val="24"/>
          <w:szCs w:val="24"/>
        </w:rPr>
      </w:pPr>
    </w:p>
    <w:p w14:paraId="03A12B9F"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recalculate the ‘drawing power’ by reducing the margins till August 31, 2020. However, in all such cases where such a temporary enhancement in drawing power is considered, the margins shall be restored to the original levels by March 31, 2021; and/or,</w:t>
      </w:r>
    </w:p>
    <w:p w14:paraId="5913361F" w14:textId="77777777" w:rsidR="00AC7D4C" w:rsidRDefault="00AC7D4C" w:rsidP="00AC7D4C">
      <w:pPr>
        <w:spacing w:after="0" w:line="240" w:lineRule="auto"/>
        <w:jc w:val="both"/>
        <w:rPr>
          <w:rFonts w:ascii="Times New Roman" w:hAnsi="Times New Roman" w:cs="Times New Roman"/>
          <w:sz w:val="24"/>
          <w:szCs w:val="24"/>
        </w:rPr>
      </w:pPr>
    </w:p>
    <w:p w14:paraId="5110286A"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review the working capital sanctioned limits upto March 31, 2021, based on a reassessment of the working capital cycle.</w:t>
      </w:r>
    </w:p>
    <w:p w14:paraId="73EB4C96" w14:textId="77777777" w:rsidR="00AC7D4C" w:rsidRDefault="00AC7D4C" w:rsidP="00AC7D4C">
      <w:pPr>
        <w:spacing w:after="0" w:line="240" w:lineRule="auto"/>
        <w:jc w:val="both"/>
        <w:rPr>
          <w:rFonts w:ascii="Times New Roman" w:hAnsi="Times New Roman" w:cs="Times New Roman"/>
          <w:sz w:val="24"/>
          <w:szCs w:val="24"/>
        </w:rPr>
      </w:pPr>
    </w:p>
    <w:p w14:paraId="24E60DC8"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28AB6BBA" w14:textId="77777777" w:rsidR="00AC7D4C" w:rsidRDefault="00AC7D4C" w:rsidP="00AC7D4C">
      <w:pPr>
        <w:spacing w:after="0" w:line="240" w:lineRule="auto"/>
        <w:jc w:val="both"/>
        <w:rPr>
          <w:rFonts w:ascii="Times New Roman" w:hAnsi="Times New Roman" w:cs="Times New Roman"/>
          <w:sz w:val="24"/>
          <w:szCs w:val="24"/>
        </w:rPr>
      </w:pPr>
    </w:p>
    <w:p w14:paraId="53508FA4"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Lending institutions may, accordingly, put in place a Board approved policy to implement the above measures.</w:t>
      </w:r>
    </w:p>
    <w:p w14:paraId="54A374F2" w14:textId="77777777" w:rsidR="00AC7D4C" w:rsidRDefault="00AC7D4C" w:rsidP="00AC7D4C">
      <w:pPr>
        <w:spacing w:after="0" w:line="240" w:lineRule="auto"/>
        <w:jc w:val="both"/>
        <w:rPr>
          <w:rFonts w:ascii="Times New Roman" w:hAnsi="Times New Roman" w:cs="Times New Roman"/>
          <w:sz w:val="24"/>
          <w:szCs w:val="24"/>
        </w:rPr>
      </w:pPr>
    </w:p>
    <w:p w14:paraId="1DCA571C"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Asset Classification</w:t>
      </w:r>
    </w:p>
    <w:p w14:paraId="767C95ED" w14:textId="77777777" w:rsidR="00AC7D4C" w:rsidRDefault="00AC7D4C" w:rsidP="00AC7D4C">
      <w:pPr>
        <w:spacing w:after="0" w:line="240" w:lineRule="auto"/>
        <w:jc w:val="both"/>
        <w:rPr>
          <w:rFonts w:ascii="Times New Roman" w:hAnsi="Times New Roman" w:cs="Times New Roman"/>
          <w:sz w:val="24"/>
          <w:szCs w:val="24"/>
        </w:rPr>
      </w:pPr>
    </w:p>
    <w:p w14:paraId="24908D40"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5887964F" w14:textId="77777777" w:rsidR="00AC7D4C" w:rsidRDefault="00AC7D4C" w:rsidP="00AC7D4C">
      <w:pPr>
        <w:spacing w:after="0" w:line="240" w:lineRule="auto"/>
        <w:jc w:val="both"/>
        <w:rPr>
          <w:rFonts w:ascii="Times New Roman" w:hAnsi="Times New Roman" w:cs="Times New Roman"/>
          <w:sz w:val="24"/>
          <w:szCs w:val="24"/>
        </w:rPr>
      </w:pPr>
    </w:p>
    <w:p w14:paraId="649E282B"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In respect of accounts classified as standard as on February 29, 2020, even if overdue, the moratorium period, wherever granted in respect of term loans, shall be excluded by the lending institutions from the number of days past-due for the purpose of asset classification under the IRAC norms. The asset classification for such accounts shall be determined on the basis of revised due dates and the revised repayment schedule.</w:t>
      </w:r>
    </w:p>
    <w:p w14:paraId="2277E0CD" w14:textId="77777777" w:rsidR="00AC7D4C" w:rsidRDefault="00AC7D4C" w:rsidP="00AC7D4C">
      <w:pPr>
        <w:spacing w:after="0" w:line="240" w:lineRule="auto"/>
        <w:jc w:val="both"/>
        <w:rPr>
          <w:rFonts w:ascii="Times New Roman" w:hAnsi="Times New Roman" w:cs="Times New Roman"/>
          <w:sz w:val="24"/>
          <w:szCs w:val="24"/>
        </w:rPr>
      </w:pPr>
    </w:p>
    <w:p w14:paraId="6BF7D084"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1D075310" w14:textId="77777777" w:rsidR="00AC7D4C" w:rsidRDefault="00AC7D4C" w:rsidP="00AC7D4C">
      <w:pPr>
        <w:spacing w:after="0" w:line="240" w:lineRule="auto"/>
        <w:jc w:val="both"/>
        <w:rPr>
          <w:rFonts w:ascii="Times New Roman" w:hAnsi="Times New Roman" w:cs="Times New Roman"/>
          <w:sz w:val="24"/>
          <w:szCs w:val="24"/>
        </w:rPr>
      </w:pPr>
    </w:p>
    <w:p w14:paraId="3D0A5113"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All other provisions of circulars dated March 27, 2020 and April 17, 2020 shall remain applicable mutatis mutandis.</w:t>
      </w:r>
    </w:p>
    <w:p w14:paraId="4FD50B96" w14:textId="77777777" w:rsidR="00AC7D4C" w:rsidRDefault="00AC7D4C" w:rsidP="00AC7D4C">
      <w:pPr>
        <w:pBdr>
          <w:bottom w:val="single" w:sz="12" w:space="1" w:color="auto"/>
        </w:pBdr>
        <w:spacing w:after="0" w:line="240" w:lineRule="auto"/>
        <w:jc w:val="both"/>
        <w:rPr>
          <w:rFonts w:ascii="Times New Roman" w:hAnsi="Times New Roman" w:cs="Times New Roman"/>
          <w:sz w:val="24"/>
          <w:szCs w:val="24"/>
        </w:rPr>
      </w:pPr>
    </w:p>
    <w:p w14:paraId="3B2A507C" w14:textId="77777777" w:rsidR="00AC7D4C" w:rsidRDefault="00AC7D4C" w:rsidP="00AC7D4C">
      <w:pPr>
        <w:spacing w:after="0" w:line="240" w:lineRule="auto"/>
        <w:jc w:val="both"/>
        <w:rPr>
          <w:rFonts w:ascii="Times New Roman" w:hAnsi="Times New Roman" w:cs="Times New Roman"/>
          <w:b/>
          <w:bCs/>
          <w:sz w:val="24"/>
          <w:szCs w:val="24"/>
        </w:rPr>
      </w:pPr>
      <w:bookmarkStart w:id="4" w:name="_Hlk43631940"/>
    </w:p>
    <w:bookmarkEnd w:id="4"/>
    <w:p w14:paraId="615E7A77" w14:textId="77777777" w:rsidR="00AC7D4C" w:rsidRDefault="00AC7D4C" w:rsidP="00AC7D4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COVID19 Regulatory Package – Review of Resolution Timelines under the Prudential Framework on Resolution of Stressed Assets</w:t>
      </w:r>
    </w:p>
    <w:p w14:paraId="008D03C5" w14:textId="77777777" w:rsidR="00AC7D4C" w:rsidRDefault="00AC7D4C" w:rsidP="00AC7D4C">
      <w:pPr>
        <w:spacing w:after="0" w:line="240" w:lineRule="auto"/>
        <w:jc w:val="both"/>
        <w:rPr>
          <w:rFonts w:ascii="Times New Roman" w:hAnsi="Times New Roman" w:cs="Times New Roman"/>
          <w:b/>
          <w:bCs/>
          <w:sz w:val="24"/>
          <w:szCs w:val="24"/>
        </w:rPr>
      </w:pPr>
    </w:p>
    <w:p w14:paraId="3CD65C8E"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RBI/2019-20/245 DOR.No.BP.BC.72/21.04.048/2019-20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23, 2020</w:t>
      </w:r>
    </w:p>
    <w:p w14:paraId="06A99213" w14:textId="77777777" w:rsidR="00AC7D4C" w:rsidRDefault="00AC7D4C" w:rsidP="00AC7D4C">
      <w:pPr>
        <w:spacing w:after="0" w:line="240" w:lineRule="auto"/>
        <w:jc w:val="both"/>
        <w:rPr>
          <w:rFonts w:ascii="Times New Roman" w:hAnsi="Times New Roman" w:cs="Times New Roman"/>
          <w:sz w:val="24"/>
          <w:szCs w:val="24"/>
        </w:rPr>
      </w:pPr>
    </w:p>
    <w:p w14:paraId="3255A3B7"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1A7681E5" w14:textId="77777777" w:rsidR="00AC7D4C" w:rsidRDefault="00AC7D4C" w:rsidP="00AC7D4C">
      <w:pPr>
        <w:spacing w:after="0" w:line="240" w:lineRule="auto"/>
        <w:jc w:val="both"/>
        <w:rPr>
          <w:rFonts w:ascii="Times New Roman" w:hAnsi="Times New Roman" w:cs="Times New Roman"/>
          <w:sz w:val="24"/>
          <w:szCs w:val="24"/>
        </w:rPr>
      </w:pPr>
    </w:p>
    <w:p w14:paraId="4F61DC92"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Circular DOR.No.BP.BC.62/21.04.048/2019-20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7857B795" w14:textId="77777777" w:rsidR="00AC7D4C" w:rsidRDefault="00AC7D4C" w:rsidP="00AC7D4C">
      <w:pPr>
        <w:spacing w:after="0" w:line="240" w:lineRule="auto"/>
        <w:jc w:val="both"/>
        <w:rPr>
          <w:rFonts w:ascii="Times New Roman" w:hAnsi="Times New Roman" w:cs="Times New Roman"/>
          <w:sz w:val="24"/>
          <w:szCs w:val="24"/>
        </w:rPr>
      </w:pPr>
    </w:p>
    <w:p w14:paraId="582ADA92"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7F0FEE39" w14:textId="77777777" w:rsidR="00AC7D4C" w:rsidRDefault="00AC7D4C" w:rsidP="00AC7D4C">
      <w:pPr>
        <w:spacing w:after="0" w:line="240" w:lineRule="auto"/>
        <w:jc w:val="both"/>
        <w:rPr>
          <w:rFonts w:ascii="Times New Roman" w:hAnsi="Times New Roman" w:cs="Times New Roman"/>
          <w:sz w:val="24"/>
          <w:szCs w:val="24"/>
        </w:rPr>
      </w:pPr>
    </w:p>
    <w:p w14:paraId="21330316"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3D0A1891" w14:textId="77777777" w:rsidR="00AC7D4C" w:rsidRDefault="00AC7D4C" w:rsidP="00AC7D4C">
      <w:pPr>
        <w:spacing w:after="0" w:line="240" w:lineRule="auto"/>
        <w:jc w:val="both"/>
        <w:rPr>
          <w:rFonts w:ascii="Times New Roman" w:hAnsi="Times New Roman" w:cs="Times New Roman"/>
          <w:sz w:val="24"/>
          <w:szCs w:val="24"/>
        </w:rPr>
      </w:pPr>
    </w:p>
    <w:p w14:paraId="475D47A5"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60925E08" w14:textId="77777777" w:rsidR="00AC7D4C" w:rsidRDefault="00AC7D4C" w:rsidP="00AC7D4C">
      <w:pPr>
        <w:spacing w:after="0" w:line="240" w:lineRule="auto"/>
        <w:jc w:val="both"/>
        <w:rPr>
          <w:rFonts w:ascii="Times New Roman" w:hAnsi="Times New Roman" w:cs="Times New Roman"/>
          <w:sz w:val="24"/>
          <w:szCs w:val="24"/>
        </w:rPr>
      </w:pPr>
    </w:p>
    <w:p w14:paraId="6A2E319E" w14:textId="77777777" w:rsidR="00AC7D4C" w:rsidRDefault="00AC7D4C" w:rsidP="00AC7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All other provisions of the circular dated April 17, 2020 shall continue to remain applicable.</w:t>
      </w:r>
    </w:p>
    <w:p w14:paraId="09327D01" w14:textId="77777777" w:rsidR="00AC7D4C" w:rsidRDefault="00AC7D4C" w:rsidP="00AC7D4C">
      <w:pPr>
        <w:pBdr>
          <w:bottom w:val="single" w:sz="12" w:space="1" w:color="auto"/>
        </w:pBdr>
        <w:spacing w:after="0" w:line="240" w:lineRule="auto"/>
        <w:jc w:val="both"/>
        <w:rPr>
          <w:rFonts w:ascii="Times New Roman" w:hAnsi="Times New Roman" w:cs="Times New Roman"/>
          <w:sz w:val="24"/>
          <w:szCs w:val="24"/>
        </w:rPr>
      </w:pPr>
    </w:p>
    <w:p w14:paraId="70F2337A" w14:textId="77777777" w:rsidR="00AC7D4C" w:rsidRDefault="00AC7D4C" w:rsidP="00AC7D4C">
      <w:pPr>
        <w:spacing w:after="0" w:line="240" w:lineRule="auto"/>
        <w:jc w:val="both"/>
        <w:rPr>
          <w:rFonts w:ascii="Times New Roman" w:hAnsi="Times New Roman" w:cs="Times New Roman"/>
          <w:sz w:val="24"/>
          <w:szCs w:val="24"/>
        </w:rPr>
      </w:pPr>
    </w:p>
    <w:p w14:paraId="16ADBE4B" w14:textId="77777777" w:rsidR="00AC7D4C" w:rsidRDefault="00AC7D4C" w:rsidP="00AC7D4C">
      <w:pPr>
        <w:spacing w:after="0" w:line="240" w:lineRule="auto"/>
        <w:jc w:val="both"/>
        <w:rPr>
          <w:rFonts w:ascii="Times New Roman" w:hAnsi="Times New Roman" w:cs="Times New Roman"/>
          <w:sz w:val="24"/>
          <w:szCs w:val="24"/>
        </w:rPr>
      </w:pPr>
    </w:p>
    <w:bookmarkEnd w:id="2"/>
    <w:p w14:paraId="48FCE5F6" w14:textId="77777777" w:rsidR="00861364" w:rsidRPr="00861364" w:rsidRDefault="00861364" w:rsidP="00861364"/>
    <w:sectPr w:rsidR="00861364" w:rsidRPr="008613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5641D" w14:textId="77777777" w:rsidR="00AF11B1" w:rsidRDefault="00AF11B1" w:rsidP="00064158">
      <w:pPr>
        <w:spacing w:after="0" w:line="240" w:lineRule="auto"/>
      </w:pPr>
      <w:r>
        <w:separator/>
      </w:r>
    </w:p>
  </w:endnote>
  <w:endnote w:type="continuationSeparator" w:id="0">
    <w:p w14:paraId="65EA7FEB" w14:textId="77777777" w:rsidR="00AF11B1" w:rsidRDefault="00AF11B1"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EA119" w14:textId="77777777" w:rsidR="00AF11B1" w:rsidRDefault="00AF11B1" w:rsidP="00064158">
      <w:pPr>
        <w:spacing w:after="0" w:line="240" w:lineRule="auto"/>
      </w:pPr>
      <w:r>
        <w:separator/>
      </w:r>
    </w:p>
  </w:footnote>
  <w:footnote w:type="continuationSeparator" w:id="0">
    <w:p w14:paraId="3865A6F5" w14:textId="77777777" w:rsidR="00AF11B1" w:rsidRDefault="00AF11B1"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16"/>
  </w:num>
  <w:num w:numId="5">
    <w:abstractNumId w:val="8"/>
  </w:num>
  <w:num w:numId="6">
    <w:abstractNumId w:val="14"/>
  </w:num>
  <w:num w:numId="7">
    <w:abstractNumId w:val="18"/>
  </w:num>
  <w:num w:numId="8">
    <w:abstractNumId w:val="12"/>
  </w:num>
  <w:num w:numId="9">
    <w:abstractNumId w:val="3"/>
  </w:num>
  <w:num w:numId="10">
    <w:abstractNumId w:val="19"/>
  </w:num>
  <w:num w:numId="11">
    <w:abstractNumId w:val="4"/>
  </w:num>
  <w:num w:numId="12">
    <w:abstractNumId w:val="15"/>
  </w:num>
  <w:num w:numId="13">
    <w:abstractNumId w:val="17"/>
  </w:num>
  <w:num w:numId="14">
    <w:abstractNumId w:val="13"/>
  </w:num>
  <w:num w:numId="15">
    <w:abstractNumId w:val="2"/>
  </w:num>
  <w:num w:numId="16">
    <w:abstractNumId w:val="20"/>
  </w:num>
  <w:num w:numId="17">
    <w:abstractNumId w:val="11"/>
  </w:num>
  <w:num w:numId="18">
    <w:abstractNumId w:val="10"/>
  </w:num>
  <w:num w:numId="19">
    <w:abstractNumId w:val="6"/>
  </w:num>
  <w:num w:numId="20">
    <w:abstractNumId w:val="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615C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B251E"/>
    <w:rsid w:val="003E4425"/>
    <w:rsid w:val="00410AB0"/>
    <w:rsid w:val="00413694"/>
    <w:rsid w:val="00497228"/>
    <w:rsid w:val="004A1131"/>
    <w:rsid w:val="004B7FFD"/>
    <w:rsid w:val="004E6570"/>
    <w:rsid w:val="004F09B3"/>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61364"/>
    <w:rsid w:val="00875F3D"/>
    <w:rsid w:val="00905269"/>
    <w:rsid w:val="00916FBF"/>
    <w:rsid w:val="00947436"/>
    <w:rsid w:val="009506F9"/>
    <w:rsid w:val="00987974"/>
    <w:rsid w:val="00987DE6"/>
    <w:rsid w:val="00994155"/>
    <w:rsid w:val="00A32783"/>
    <w:rsid w:val="00A348AB"/>
    <w:rsid w:val="00A47A10"/>
    <w:rsid w:val="00A71804"/>
    <w:rsid w:val="00AB3BB5"/>
    <w:rsid w:val="00AB4350"/>
    <w:rsid w:val="00AC7D4C"/>
    <w:rsid w:val="00AE3D54"/>
    <w:rsid w:val="00AF0FE3"/>
    <w:rsid w:val="00AF11B1"/>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2101761">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bi.org.in/Scripts/NotificationUser.aspx?Id=9103&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9890</Words>
  <Characters>56374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2020-07-01T12:11:00Z</dcterms:created>
  <dcterms:modified xsi:type="dcterms:W3CDTF">2020-07-06T12:18:00Z</dcterms:modified>
</cp:coreProperties>
</file>