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4D58B" w14:textId="4564C1F7" w:rsidR="00F77130" w:rsidRPr="00F77130" w:rsidRDefault="00362839" w:rsidP="00F77130">
      <w:pPr>
        <w:jc w:val="center"/>
        <w:rPr>
          <w:b/>
          <w:bCs/>
          <w:sz w:val="28"/>
          <w:szCs w:val="28"/>
        </w:rPr>
      </w:pPr>
      <w:bookmarkStart w:id="0" w:name="_Hlk44435719"/>
      <w:r>
        <w:rPr>
          <w:b/>
          <w:bCs/>
          <w:sz w:val="28"/>
          <w:szCs w:val="28"/>
        </w:rPr>
        <w:t>CAIIB Elective – Risk Management</w:t>
      </w:r>
    </w:p>
    <w:p w14:paraId="5F6DD5D3" w14:textId="71DF1995" w:rsidR="00F77130" w:rsidRPr="00037042" w:rsidRDefault="00F77130" w:rsidP="00F77130">
      <w:pPr>
        <w:pBdr>
          <w:top w:val="single" w:sz="4" w:space="1" w:color="auto"/>
          <w:left w:val="single" w:sz="4" w:space="4" w:color="auto"/>
          <w:bottom w:val="single" w:sz="4" w:space="1" w:color="auto"/>
          <w:right w:val="single" w:sz="4" w:space="4" w:color="auto"/>
        </w:pBdr>
        <w:spacing w:after="0" w:line="240" w:lineRule="auto"/>
        <w:ind w:left="1304" w:right="1304"/>
        <w:jc w:val="center"/>
        <w:rPr>
          <w:rFonts w:cstheme="minorHAnsi"/>
          <w:b/>
          <w:bCs/>
          <w:sz w:val="28"/>
          <w:szCs w:val="28"/>
        </w:rPr>
      </w:pPr>
      <w:r w:rsidRPr="00037042">
        <w:rPr>
          <w:rFonts w:cstheme="minorHAnsi"/>
          <w:b/>
          <w:bCs/>
          <w:sz w:val="28"/>
          <w:szCs w:val="28"/>
        </w:rPr>
        <w:t>RBI</w:t>
      </w:r>
      <w:r w:rsidR="0097787A">
        <w:rPr>
          <w:rFonts w:cstheme="minorHAnsi"/>
          <w:b/>
          <w:bCs/>
          <w:sz w:val="28"/>
          <w:szCs w:val="28"/>
        </w:rPr>
        <w:t xml:space="preserve"> </w:t>
      </w:r>
      <w:r w:rsidRPr="00037042">
        <w:rPr>
          <w:rFonts w:cstheme="minorHAnsi"/>
          <w:b/>
          <w:bCs/>
          <w:sz w:val="28"/>
          <w:szCs w:val="28"/>
        </w:rPr>
        <w:t>Notifications during the period 1st January 2020 to 30th June 2020</w:t>
      </w:r>
    </w:p>
    <w:p w14:paraId="13B0F179" w14:textId="77777777" w:rsidR="00F77130" w:rsidRDefault="00F77130" w:rsidP="00F77130">
      <w:pPr>
        <w:spacing w:after="0" w:line="240" w:lineRule="auto"/>
        <w:jc w:val="both"/>
        <w:rPr>
          <w:rFonts w:ascii="Times New Roman" w:hAnsi="Times New Roman" w:cs="Times New Roman"/>
          <w:b/>
          <w:bCs/>
          <w:sz w:val="24"/>
          <w:szCs w:val="24"/>
        </w:rPr>
      </w:pPr>
    </w:p>
    <w:p w14:paraId="062C5F11" w14:textId="77777777" w:rsidR="00F77130" w:rsidRDefault="00F77130" w:rsidP="00F77130">
      <w:pPr>
        <w:spacing w:after="0" w:line="240" w:lineRule="auto"/>
        <w:jc w:val="both"/>
        <w:rPr>
          <w:rFonts w:ascii="Times New Roman" w:hAnsi="Times New Roman" w:cs="Times New Roman"/>
          <w:b/>
          <w:bCs/>
          <w:sz w:val="24"/>
          <w:szCs w:val="24"/>
        </w:rPr>
      </w:pPr>
    </w:p>
    <w:p w14:paraId="6F47B3D0" w14:textId="77777777" w:rsidR="00F77130" w:rsidRDefault="00F77130" w:rsidP="00F7713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Risk Management and Inter-bank Dealings- Permitting AD Cat-I banks to voluntarily undertake user and Inter-Bank transactions beyond onshore market hours</w:t>
      </w:r>
    </w:p>
    <w:p w14:paraId="2CCA2BF3" w14:textId="77777777" w:rsidR="00F77130" w:rsidRPr="00C902C8" w:rsidRDefault="00F77130" w:rsidP="00F77130">
      <w:pPr>
        <w:spacing w:after="0" w:line="240" w:lineRule="auto"/>
        <w:jc w:val="both"/>
        <w:rPr>
          <w:rFonts w:ascii="Times New Roman" w:hAnsi="Times New Roman" w:cs="Times New Roman"/>
          <w:b/>
          <w:bCs/>
          <w:sz w:val="24"/>
          <w:szCs w:val="24"/>
        </w:rPr>
      </w:pPr>
    </w:p>
    <w:p w14:paraId="6304C6A4"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RBI/2019-20/136 A.P. (DIR Series) Circular No. 15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January 6, 2020</w:t>
      </w:r>
    </w:p>
    <w:p w14:paraId="494578B7" w14:textId="77777777" w:rsidR="00F77130" w:rsidRPr="00C902C8" w:rsidRDefault="00F77130" w:rsidP="00F77130">
      <w:pPr>
        <w:spacing w:after="0" w:line="240" w:lineRule="auto"/>
        <w:jc w:val="both"/>
        <w:rPr>
          <w:rFonts w:ascii="Times New Roman" w:hAnsi="Times New Roman" w:cs="Times New Roman"/>
          <w:sz w:val="24"/>
          <w:szCs w:val="24"/>
        </w:rPr>
      </w:pPr>
    </w:p>
    <w:p w14:paraId="0934D6FB"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Authorised Dealers Category-I</w:t>
      </w:r>
    </w:p>
    <w:p w14:paraId="4B280E22" w14:textId="77777777" w:rsidR="00F77130" w:rsidRPr="00C902C8" w:rsidRDefault="00F77130" w:rsidP="00F77130">
      <w:pPr>
        <w:spacing w:after="0" w:line="240" w:lineRule="auto"/>
        <w:jc w:val="both"/>
        <w:rPr>
          <w:rFonts w:ascii="Times New Roman" w:hAnsi="Times New Roman" w:cs="Times New Roman"/>
          <w:sz w:val="24"/>
          <w:szCs w:val="24"/>
        </w:rPr>
      </w:pPr>
    </w:p>
    <w:p w14:paraId="5AB31BF8" w14:textId="77777777" w:rsidR="00F77130" w:rsidRPr="00C902C8" w:rsidRDefault="00F77130" w:rsidP="00F77130">
      <w:pPr>
        <w:spacing w:after="0" w:line="240" w:lineRule="auto"/>
        <w:jc w:val="both"/>
        <w:rPr>
          <w:rFonts w:ascii="Times New Roman" w:hAnsi="Times New Roman" w:cs="Times New Roman"/>
          <w:sz w:val="24"/>
          <w:szCs w:val="24"/>
        </w:rPr>
      </w:pPr>
    </w:p>
    <w:p w14:paraId="2444EF55"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Attention of Authorised Dealers (ADs) is invited to the Foreign Exchange Management (Foreign Exchange Derivative Contracts) Regulations, 2000 notified vide Notification No. FEMA.25/RB-2000 dated May 3, 2000) issued under clause (h) of sub-section (2) of Section 47 of FEMA, 1999 (Act 42 of 1999), as amended from time to time and the Master Direction- Risk Management and Inter-bank Dealing dated July 05, 2016, as amended from time to time.</w:t>
      </w:r>
    </w:p>
    <w:p w14:paraId="039E5B7C" w14:textId="77777777" w:rsidR="00F77130" w:rsidRPr="00C902C8" w:rsidRDefault="00F77130" w:rsidP="00F77130">
      <w:pPr>
        <w:spacing w:after="0" w:line="240" w:lineRule="auto"/>
        <w:jc w:val="both"/>
        <w:rPr>
          <w:rFonts w:ascii="Times New Roman" w:hAnsi="Times New Roman" w:cs="Times New Roman"/>
          <w:sz w:val="24"/>
          <w:szCs w:val="24"/>
        </w:rPr>
      </w:pPr>
    </w:p>
    <w:p w14:paraId="6D286216"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As announced in the Statement of Developmental and Regulatory Policies dated October 04, 2019 it has been decided to accept the recommendation of the Task Force on Offshore Rupee Market to permit AD Cat-I banks to offer foreign exchange prices to users at all times, out of their Indian books, either by a domestic sales team or through their overseas branches.</w:t>
      </w:r>
    </w:p>
    <w:p w14:paraId="4147CF1E" w14:textId="77777777" w:rsidR="00F77130" w:rsidRPr="00C902C8" w:rsidRDefault="00F77130" w:rsidP="00F77130">
      <w:pPr>
        <w:spacing w:after="0" w:line="240" w:lineRule="auto"/>
        <w:jc w:val="both"/>
        <w:rPr>
          <w:rFonts w:ascii="Times New Roman" w:hAnsi="Times New Roman" w:cs="Times New Roman"/>
          <w:sz w:val="24"/>
          <w:szCs w:val="24"/>
        </w:rPr>
      </w:pPr>
    </w:p>
    <w:p w14:paraId="7AE185BD"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Accordingly, the following section is being added in Part C (Inter-Bank Foreign Exchange Dealings) of the Master Direction- Risk Management and Inter-Bank Dealings:</w:t>
      </w:r>
    </w:p>
    <w:p w14:paraId="38D4ADAE" w14:textId="77777777" w:rsidR="00F77130" w:rsidRPr="00C902C8" w:rsidRDefault="00F77130" w:rsidP="00F77130">
      <w:pPr>
        <w:spacing w:after="0" w:line="240" w:lineRule="auto"/>
        <w:jc w:val="both"/>
        <w:rPr>
          <w:rFonts w:ascii="Times New Roman" w:hAnsi="Times New Roman" w:cs="Times New Roman"/>
          <w:sz w:val="24"/>
          <w:szCs w:val="24"/>
        </w:rPr>
      </w:pPr>
    </w:p>
    <w:p w14:paraId="5217B62A" w14:textId="77777777" w:rsidR="00F77130" w:rsidRPr="00C902C8" w:rsidRDefault="00F77130" w:rsidP="00F7713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“6. Customer and inter-bank transactions beyond onshore market hours</w:t>
      </w:r>
    </w:p>
    <w:p w14:paraId="72B44DCF" w14:textId="77777777" w:rsidR="00F77130" w:rsidRPr="00C902C8" w:rsidRDefault="00F77130" w:rsidP="00F77130">
      <w:pPr>
        <w:spacing w:after="0" w:line="240" w:lineRule="auto"/>
        <w:jc w:val="both"/>
        <w:rPr>
          <w:rFonts w:ascii="Times New Roman" w:hAnsi="Times New Roman" w:cs="Times New Roman"/>
          <w:sz w:val="24"/>
          <w:szCs w:val="24"/>
        </w:rPr>
      </w:pPr>
    </w:p>
    <w:p w14:paraId="0A19F544"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Authorised dealers may undertake customer (persons resident in India and persons resident outside India) and inter-bank transactions beyond onshore market hours. Transactions with persons resident outside India, through their foreign branches and subsidiaries may also be undertaken beyond onshore market hours.”</w:t>
      </w:r>
    </w:p>
    <w:p w14:paraId="20E2D6F2" w14:textId="77777777" w:rsidR="00F77130" w:rsidRPr="00C902C8" w:rsidRDefault="00F77130" w:rsidP="00F77130">
      <w:pPr>
        <w:spacing w:after="0" w:line="240" w:lineRule="auto"/>
        <w:jc w:val="both"/>
        <w:rPr>
          <w:rFonts w:ascii="Times New Roman" w:hAnsi="Times New Roman" w:cs="Times New Roman"/>
          <w:sz w:val="24"/>
          <w:szCs w:val="24"/>
        </w:rPr>
      </w:pPr>
    </w:p>
    <w:p w14:paraId="395CBFF5"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contained in this circular have been issued under sections 10(4) and 11(1) of the Foreign Exchange Management Act, 1999 (42 of 1999) and are without prejudice to permissions/approvals, if any, required under any other law.</w:t>
      </w:r>
    </w:p>
    <w:p w14:paraId="363CDCC4" w14:textId="77777777" w:rsidR="00F77130" w:rsidRPr="00C902C8" w:rsidRDefault="00F77130" w:rsidP="00F77130">
      <w:pPr>
        <w:pBdr>
          <w:bottom w:val="single" w:sz="12" w:space="1" w:color="auto"/>
        </w:pBdr>
        <w:spacing w:after="0" w:line="240" w:lineRule="auto"/>
        <w:jc w:val="both"/>
        <w:rPr>
          <w:rFonts w:ascii="Times New Roman" w:hAnsi="Times New Roman" w:cs="Times New Roman"/>
          <w:sz w:val="24"/>
          <w:szCs w:val="24"/>
        </w:rPr>
      </w:pPr>
    </w:p>
    <w:p w14:paraId="57EE1EF9" w14:textId="77777777" w:rsidR="00F77130" w:rsidRPr="00C902C8" w:rsidRDefault="00F77130" w:rsidP="00F77130">
      <w:pPr>
        <w:spacing w:after="0" w:line="240" w:lineRule="auto"/>
        <w:jc w:val="both"/>
        <w:rPr>
          <w:rFonts w:ascii="Times New Roman" w:hAnsi="Times New Roman" w:cs="Times New Roman"/>
          <w:sz w:val="24"/>
          <w:szCs w:val="24"/>
        </w:rPr>
      </w:pPr>
    </w:p>
    <w:p w14:paraId="7146EFD7" w14:textId="77777777" w:rsidR="00F77130" w:rsidRDefault="00F77130" w:rsidP="00F77130">
      <w:pPr>
        <w:spacing w:after="0" w:line="240" w:lineRule="auto"/>
        <w:jc w:val="both"/>
        <w:rPr>
          <w:rFonts w:ascii="Times New Roman" w:hAnsi="Times New Roman" w:cs="Times New Roman"/>
          <w:b/>
          <w:bCs/>
          <w:sz w:val="24"/>
          <w:szCs w:val="24"/>
        </w:rPr>
      </w:pPr>
    </w:p>
    <w:p w14:paraId="496BF92D" w14:textId="77777777" w:rsidR="00F77130" w:rsidRDefault="00F77130" w:rsidP="00F7713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Risk Management and Inter-bank Dealings- Participation of Banks in Offshore Non-deliverable Rupee Derivative Markets</w:t>
      </w:r>
    </w:p>
    <w:p w14:paraId="4E4306BE" w14:textId="77777777" w:rsidR="00F77130" w:rsidRPr="00C902C8" w:rsidRDefault="00F77130" w:rsidP="00F77130">
      <w:pPr>
        <w:spacing w:after="0" w:line="240" w:lineRule="auto"/>
        <w:jc w:val="both"/>
        <w:rPr>
          <w:rFonts w:ascii="Times New Roman" w:hAnsi="Times New Roman" w:cs="Times New Roman"/>
          <w:b/>
          <w:bCs/>
          <w:sz w:val="24"/>
          <w:szCs w:val="24"/>
        </w:rPr>
      </w:pPr>
    </w:p>
    <w:p w14:paraId="7C66873A"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RBI/2019-20/193 A.P. (DIR Series) Circular No.23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27, 2020</w:t>
      </w:r>
    </w:p>
    <w:p w14:paraId="045EC4F8" w14:textId="77777777" w:rsidR="00F77130" w:rsidRPr="00C902C8" w:rsidRDefault="00F77130" w:rsidP="00F77130">
      <w:pPr>
        <w:spacing w:after="0" w:line="240" w:lineRule="auto"/>
        <w:jc w:val="both"/>
        <w:rPr>
          <w:rFonts w:ascii="Times New Roman" w:hAnsi="Times New Roman" w:cs="Times New Roman"/>
          <w:sz w:val="24"/>
          <w:szCs w:val="24"/>
        </w:rPr>
      </w:pPr>
    </w:p>
    <w:p w14:paraId="42B70C2D"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Authorised Dealer Category-I Banks</w:t>
      </w:r>
    </w:p>
    <w:p w14:paraId="035AE907" w14:textId="77777777" w:rsidR="00F77130" w:rsidRPr="00C902C8" w:rsidRDefault="00F77130" w:rsidP="00F77130">
      <w:pPr>
        <w:spacing w:after="0" w:line="240" w:lineRule="auto"/>
        <w:jc w:val="both"/>
        <w:rPr>
          <w:rFonts w:ascii="Times New Roman" w:hAnsi="Times New Roman" w:cs="Times New Roman"/>
          <w:sz w:val="24"/>
          <w:szCs w:val="24"/>
        </w:rPr>
      </w:pPr>
    </w:p>
    <w:p w14:paraId="51AA5A61"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Attention is invited to the Foreign Exchange Management (Foreign Exchange Derivative Contracts) Regulations, 2000 (Notification no. FEMA.25/RB-2000 dated May 3, 2000), as amended from time to time, and Master Direction- Risk Management and Inter-bank Dealings dated July 06, 2016, as updated from time to time (Master Direction)</w:t>
      </w:r>
    </w:p>
    <w:p w14:paraId="0F5A14DB" w14:textId="77777777" w:rsidR="00F77130" w:rsidRPr="00C902C8" w:rsidRDefault="00F77130" w:rsidP="00F77130">
      <w:pPr>
        <w:spacing w:after="0" w:line="240" w:lineRule="auto"/>
        <w:jc w:val="both"/>
        <w:rPr>
          <w:rFonts w:ascii="Times New Roman" w:hAnsi="Times New Roman" w:cs="Times New Roman"/>
          <w:sz w:val="24"/>
          <w:szCs w:val="24"/>
        </w:rPr>
      </w:pPr>
    </w:p>
    <w:p w14:paraId="0DDED254"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As stated in paragraph 10 of the Statement on Developmental and Regulatory Policies dated March 27, 2020, banks in India having an Authorised Dealer Category-1 license under Foreign Exchange Management Act (FEMA), 1999, and operating International Financial Services Centre (IFSC) Banking Units (IBUs), shall be eligible to offer non-deliverable derivative contracts involving the Rupee, or otherwise, to persons not resident in India. Banks can undertake such transactions through their branches in India, through their IBUs or through their foreign branches (in case of foreign banks operating in India, through any branch of the parent bank).</w:t>
      </w:r>
    </w:p>
    <w:p w14:paraId="38379FE8" w14:textId="77777777" w:rsidR="00F77130" w:rsidRPr="00C902C8" w:rsidRDefault="00F77130" w:rsidP="00F77130">
      <w:pPr>
        <w:spacing w:after="0" w:line="240" w:lineRule="auto"/>
        <w:jc w:val="both"/>
        <w:rPr>
          <w:rFonts w:ascii="Times New Roman" w:hAnsi="Times New Roman" w:cs="Times New Roman"/>
          <w:sz w:val="24"/>
          <w:szCs w:val="24"/>
        </w:rPr>
      </w:pPr>
    </w:p>
    <w:p w14:paraId="48FE5462"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Accordingly, the following amendments are being made to the Master Direction. The amendments shall come into effect from June 1, 2020.</w:t>
      </w:r>
    </w:p>
    <w:p w14:paraId="5FF809EB" w14:textId="77777777" w:rsidR="00F77130" w:rsidRPr="00C902C8" w:rsidRDefault="00F77130" w:rsidP="00F77130">
      <w:pPr>
        <w:spacing w:after="0" w:line="240" w:lineRule="auto"/>
        <w:jc w:val="both"/>
        <w:rPr>
          <w:rFonts w:ascii="Times New Roman" w:hAnsi="Times New Roman" w:cs="Times New Roman"/>
          <w:sz w:val="24"/>
          <w:szCs w:val="24"/>
        </w:rPr>
      </w:pPr>
    </w:p>
    <w:p w14:paraId="49A15FCD"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In Part-A (Section II) of the Master Direction, a new paragraph (9A) is added as follows:</w:t>
      </w:r>
    </w:p>
    <w:p w14:paraId="4EE516BC" w14:textId="77777777" w:rsidR="00F77130" w:rsidRPr="00C902C8" w:rsidRDefault="00F77130" w:rsidP="00F77130">
      <w:pPr>
        <w:spacing w:after="0" w:line="240" w:lineRule="auto"/>
        <w:jc w:val="both"/>
        <w:rPr>
          <w:rFonts w:ascii="Times New Roman" w:hAnsi="Times New Roman" w:cs="Times New Roman"/>
          <w:sz w:val="24"/>
          <w:szCs w:val="24"/>
        </w:rPr>
      </w:pPr>
    </w:p>
    <w:p w14:paraId="45A60D47"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“9A. Non-deliverable derivative contracts (NDDC)</w:t>
      </w:r>
    </w:p>
    <w:p w14:paraId="0E58349D" w14:textId="77777777" w:rsidR="00F77130" w:rsidRPr="00C902C8" w:rsidRDefault="00F77130" w:rsidP="00F77130">
      <w:pPr>
        <w:spacing w:after="0" w:line="240" w:lineRule="auto"/>
        <w:jc w:val="both"/>
        <w:rPr>
          <w:rFonts w:ascii="Times New Roman" w:hAnsi="Times New Roman" w:cs="Times New Roman"/>
          <w:sz w:val="24"/>
          <w:szCs w:val="24"/>
        </w:rPr>
      </w:pPr>
    </w:p>
    <w:p w14:paraId="68E71A03"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Non-deliverable derivative contract (NDDC) means a foreign exchange derivative contract involving the Rupee, entered into with a person not resident in India and which is settled without involving delivery of Rupee.</w:t>
      </w:r>
    </w:p>
    <w:p w14:paraId="04DDE106" w14:textId="77777777" w:rsidR="00F77130" w:rsidRPr="00C902C8" w:rsidRDefault="00F77130" w:rsidP="00F77130">
      <w:pPr>
        <w:spacing w:after="0" w:line="240" w:lineRule="auto"/>
        <w:jc w:val="both"/>
        <w:rPr>
          <w:rFonts w:ascii="Times New Roman" w:hAnsi="Times New Roman" w:cs="Times New Roman"/>
          <w:sz w:val="24"/>
          <w:szCs w:val="24"/>
        </w:rPr>
      </w:pPr>
    </w:p>
    <w:p w14:paraId="4F0E674A"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Banks in India having an Authorised Dealer Category-1 license under FEMA, 1999, and operating International Financial Services Centre (IFSC) Banking Units (IBUs) (as specified in circular no. RBI/2014-15/533.DBR.IBD.BC.14570/ 23.13.004/2014-15 dated April 1, 2015 (as amended from time to time)), shall be eligible to offer non-deliverable derivative contracts involving the Rupee, or otherwise, to persons not resident in India. Banks can undertake such transactions through their IBUs or through their branches in India or through their foreign branches (in case of foreign banks operating in India, through any branch of the parent bank).</w:t>
      </w:r>
    </w:p>
    <w:p w14:paraId="769D5FFD" w14:textId="77777777" w:rsidR="00F77130" w:rsidRPr="00C902C8" w:rsidRDefault="00F77130" w:rsidP="00F77130">
      <w:pPr>
        <w:spacing w:after="0" w:line="240" w:lineRule="auto"/>
        <w:jc w:val="both"/>
        <w:rPr>
          <w:rFonts w:ascii="Times New Roman" w:hAnsi="Times New Roman" w:cs="Times New Roman"/>
          <w:sz w:val="24"/>
          <w:szCs w:val="24"/>
        </w:rPr>
      </w:pPr>
    </w:p>
    <w:p w14:paraId="0E787283"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 In Part C of the Master Direction, a new paragraph is added as follows:</w:t>
      </w:r>
    </w:p>
    <w:p w14:paraId="3DCDB9F9" w14:textId="77777777" w:rsidR="00F77130" w:rsidRPr="00C902C8" w:rsidRDefault="00F77130" w:rsidP="00F77130">
      <w:pPr>
        <w:spacing w:after="0" w:line="240" w:lineRule="auto"/>
        <w:jc w:val="both"/>
        <w:rPr>
          <w:rFonts w:ascii="Times New Roman" w:hAnsi="Times New Roman" w:cs="Times New Roman"/>
          <w:sz w:val="24"/>
          <w:szCs w:val="24"/>
        </w:rPr>
      </w:pPr>
    </w:p>
    <w:p w14:paraId="186449A5"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“3A. Transaction in Non-deliverable derivative contracts (NDDC)</w:t>
      </w:r>
    </w:p>
    <w:p w14:paraId="5A69FDA8" w14:textId="77777777" w:rsidR="00F77130" w:rsidRPr="00C902C8" w:rsidRDefault="00F77130" w:rsidP="00F77130">
      <w:pPr>
        <w:spacing w:after="0" w:line="240" w:lineRule="auto"/>
        <w:jc w:val="both"/>
        <w:rPr>
          <w:rFonts w:ascii="Times New Roman" w:hAnsi="Times New Roman" w:cs="Times New Roman"/>
          <w:sz w:val="24"/>
          <w:szCs w:val="24"/>
        </w:rPr>
      </w:pPr>
    </w:p>
    <w:p w14:paraId="2F34F125"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Authorised dealers having an IFSC Banking Unit (IBU) (as specified in circular no.RBI/2014-15/533.DBR.IBD.BC.14570/23.13.004/2014-15 dated April 1, 2015 (as amended from time to time)) may transact in Non-deliverable derivative contracts (NDDCs) with other AD Category 1 banks having IBUs and banks overseas. Banks can undertake such transactions through their IBUs or through their branches in India or through their foreign branches (in case of foreign banks operating in India, through any branch of the parent bank).”</w:t>
      </w:r>
    </w:p>
    <w:p w14:paraId="1D13ED7D" w14:textId="77777777" w:rsidR="00F77130" w:rsidRPr="00C902C8" w:rsidRDefault="00F77130" w:rsidP="00F77130">
      <w:pPr>
        <w:spacing w:after="0" w:line="240" w:lineRule="auto"/>
        <w:jc w:val="both"/>
        <w:rPr>
          <w:rFonts w:ascii="Times New Roman" w:hAnsi="Times New Roman" w:cs="Times New Roman"/>
          <w:sz w:val="24"/>
          <w:szCs w:val="24"/>
        </w:rPr>
      </w:pPr>
    </w:p>
    <w:p w14:paraId="208A8E1B"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contained in this circular have been issued under Sections 10(4) and 11(1) of the Foreign Exchange Management Act, 1999 (42 of 1999) and are without prejudice to permissions /approvals, if any, required under any other law.</w:t>
      </w:r>
    </w:p>
    <w:p w14:paraId="7E7A7666" w14:textId="77777777" w:rsidR="00F77130" w:rsidRPr="00C902C8" w:rsidRDefault="00F77130" w:rsidP="00F77130">
      <w:pPr>
        <w:pBdr>
          <w:bottom w:val="single" w:sz="12" w:space="1" w:color="auto"/>
        </w:pBdr>
        <w:spacing w:after="0" w:line="240" w:lineRule="auto"/>
        <w:jc w:val="both"/>
        <w:rPr>
          <w:rFonts w:ascii="Times New Roman" w:hAnsi="Times New Roman" w:cs="Times New Roman"/>
          <w:sz w:val="24"/>
          <w:szCs w:val="24"/>
        </w:rPr>
      </w:pPr>
    </w:p>
    <w:p w14:paraId="3B1D2A08" w14:textId="77777777" w:rsidR="00F77130" w:rsidRPr="00C902C8" w:rsidRDefault="00F77130" w:rsidP="00F77130">
      <w:pPr>
        <w:spacing w:after="0" w:line="240" w:lineRule="auto"/>
        <w:jc w:val="both"/>
        <w:rPr>
          <w:rFonts w:ascii="Times New Roman" w:hAnsi="Times New Roman" w:cs="Times New Roman"/>
          <w:sz w:val="24"/>
          <w:szCs w:val="24"/>
        </w:rPr>
      </w:pPr>
    </w:p>
    <w:p w14:paraId="4C6C0A3C" w14:textId="77777777" w:rsidR="00F77130" w:rsidRDefault="00F77130" w:rsidP="00F77130">
      <w:pPr>
        <w:spacing w:after="0" w:line="240" w:lineRule="auto"/>
        <w:jc w:val="both"/>
        <w:rPr>
          <w:rFonts w:ascii="Times New Roman" w:hAnsi="Times New Roman" w:cs="Times New Roman"/>
          <w:b/>
          <w:bCs/>
          <w:sz w:val="24"/>
          <w:szCs w:val="24"/>
        </w:rPr>
      </w:pPr>
    </w:p>
    <w:p w14:paraId="67D170A4" w14:textId="77777777" w:rsidR="00F77130" w:rsidRDefault="00F77130" w:rsidP="00F7713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lastRenderedPageBreak/>
        <w:t>Risk Management and Inter-bank Dealings – Hedging of foreign exchange risk</w:t>
      </w:r>
    </w:p>
    <w:p w14:paraId="68DB4367" w14:textId="77777777" w:rsidR="00F77130" w:rsidRPr="00C902C8" w:rsidRDefault="00F77130" w:rsidP="00F77130">
      <w:pPr>
        <w:spacing w:after="0" w:line="240" w:lineRule="auto"/>
        <w:jc w:val="both"/>
        <w:rPr>
          <w:rFonts w:ascii="Times New Roman" w:hAnsi="Times New Roman" w:cs="Times New Roman"/>
          <w:b/>
          <w:bCs/>
          <w:sz w:val="24"/>
          <w:szCs w:val="24"/>
        </w:rPr>
      </w:pPr>
    </w:p>
    <w:p w14:paraId="3EB5C1FA"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RBI/2019-20/210 </w:t>
      </w:r>
      <w:proofErr w:type="gramStart"/>
      <w:r w:rsidRPr="00C902C8">
        <w:rPr>
          <w:rFonts w:ascii="Times New Roman" w:hAnsi="Times New Roman" w:cs="Times New Roman"/>
          <w:sz w:val="24"/>
          <w:szCs w:val="24"/>
        </w:rPr>
        <w:t>A.P.(</w:t>
      </w:r>
      <w:proofErr w:type="gramEnd"/>
      <w:r w:rsidRPr="00C902C8">
        <w:rPr>
          <w:rFonts w:ascii="Times New Roman" w:hAnsi="Times New Roman" w:cs="Times New Roman"/>
          <w:sz w:val="24"/>
          <w:szCs w:val="24"/>
        </w:rPr>
        <w:t>DIR Series) Circular No. 29</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7, 2020</w:t>
      </w:r>
    </w:p>
    <w:p w14:paraId="5DDF5B73" w14:textId="77777777" w:rsidR="00F77130" w:rsidRPr="00C902C8" w:rsidRDefault="00F77130" w:rsidP="00F77130">
      <w:pPr>
        <w:spacing w:after="0" w:line="240" w:lineRule="auto"/>
        <w:jc w:val="both"/>
        <w:rPr>
          <w:rFonts w:ascii="Times New Roman" w:hAnsi="Times New Roman" w:cs="Times New Roman"/>
          <w:sz w:val="24"/>
          <w:szCs w:val="24"/>
        </w:rPr>
      </w:pPr>
    </w:p>
    <w:p w14:paraId="5CC43D7E"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6F77E822"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Authorised Dealers Category – I</w:t>
      </w:r>
    </w:p>
    <w:p w14:paraId="661146A0" w14:textId="77777777" w:rsidR="00F77130" w:rsidRPr="00C902C8" w:rsidRDefault="00F77130" w:rsidP="00F77130">
      <w:pPr>
        <w:spacing w:after="0" w:line="240" w:lineRule="auto"/>
        <w:jc w:val="both"/>
        <w:rPr>
          <w:rFonts w:ascii="Times New Roman" w:hAnsi="Times New Roman" w:cs="Times New Roman"/>
          <w:sz w:val="24"/>
          <w:szCs w:val="24"/>
        </w:rPr>
      </w:pPr>
    </w:p>
    <w:p w14:paraId="3FCF6614"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Attention of Authorised Dealers Category – I (AD Category – I) banks is invited to the Foreign Exchange Management (Foreign Exchange Derivative Contracts) Regulations, 2000 dated May 3, 2000 (Notification No.FEMA.25/RB-2000 dated May 3, 2000), as amended from time to time and Master Directions on Risk Management and Inter-Bank Dealings dated July 5, 2016, as amended from time to time.</w:t>
      </w:r>
    </w:p>
    <w:p w14:paraId="128BF412" w14:textId="77777777" w:rsidR="00F77130" w:rsidRPr="00C902C8" w:rsidRDefault="00F77130" w:rsidP="00F77130">
      <w:pPr>
        <w:spacing w:after="0" w:line="240" w:lineRule="auto"/>
        <w:jc w:val="both"/>
        <w:rPr>
          <w:rFonts w:ascii="Times New Roman" w:hAnsi="Times New Roman" w:cs="Times New Roman"/>
          <w:sz w:val="24"/>
          <w:szCs w:val="24"/>
        </w:rPr>
      </w:pPr>
    </w:p>
    <w:p w14:paraId="1E1F121C"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As announced in the Statement on Developmental and Regulatory Policies dated December 5, 2019, the existing facilities for non-residents and residents to hedge their foreign exchange risk on account of transactions permitted under Foreign Exchange Management Act (FEMA), 1999 have been revised. The revised directions are provided at Annex–I to this circular. All previous operational guidelines, terms and conditions in this regard shall stand withdrawn from the date that these directions come into effect.</w:t>
      </w:r>
    </w:p>
    <w:p w14:paraId="29067F29" w14:textId="77777777" w:rsidR="00F77130" w:rsidRPr="00C902C8" w:rsidRDefault="00F77130" w:rsidP="00F77130">
      <w:pPr>
        <w:spacing w:after="0" w:line="240" w:lineRule="auto"/>
        <w:jc w:val="both"/>
        <w:rPr>
          <w:rFonts w:ascii="Times New Roman" w:hAnsi="Times New Roman" w:cs="Times New Roman"/>
          <w:sz w:val="24"/>
          <w:szCs w:val="24"/>
        </w:rPr>
      </w:pPr>
    </w:p>
    <w:p w14:paraId="79490A34"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Necessary amendments (Notification No.FEMA.398/RB-2020 dated February 18, 2020) to Foreign Exchange Management (Foreign Exchange Derivatives Contracts) Regulations, 2000 (Notification No.FEMA.25/RB-2000 dated May 3, 2000) (Regulations) have been notified in the Official Gazette vide Gazette Id no. CG-MH-E-06032020-216549 dated March 3, 2020, a copy of which is annexed to this circular. These regulations have been issued under clause (h) of sub-Section (2) of Section 47 of FEMA, 1999 (42 of 1999).</w:t>
      </w:r>
    </w:p>
    <w:p w14:paraId="02196395" w14:textId="77777777" w:rsidR="00F77130" w:rsidRPr="00C902C8" w:rsidRDefault="00F77130" w:rsidP="00F77130">
      <w:pPr>
        <w:spacing w:after="0" w:line="240" w:lineRule="auto"/>
        <w:jc w:val="both"/>
        <w:rPr>
          <w:rFonts w:ascii="Times New Roman" w:hAnsi="Times New Roman" w:cs="Times New Roman"/>
          <w:sz w:val="24"/>
          <w:szCs w:val="24"/>
        </w:rPr>
      </w:pPr>
    </w:p>
    <w:p w14:paraId="230DF3D1"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shall come into effect from June 1, 2020 and replace the existing directions in Part A - Section I and II and Part D of the Master Direction on Risk Management and Interbank Dealings dated July 5, 2016, as amended from time to time.</w:t>
      </w:r>
    </w:p>
    <w:p w14:paraId="694F649A" w14:textId="77777777" w:rsidR="00F77130" w:rsidRPr="00C902C8" w:rsidRDefault="00F77130" w:rsidP="00F77130">
      <w:pPr>
        <w:spacing w:after="0" w:line="240" w:lineRule="auto"/>
        <w:jc w:val="both"/>
        <w:rPr>
          <w:rFonts w:ascii="Times New Roman" w:hAnsi="Times New Roman" w:cs="Times New Roman"/>
          <w:sz w:val="24"/>
          <w:szCs w:val="24"/>
        </w:rPr>
      </w:pPr>
    </w:p>
    <w:p w14:paraId="25D36A53"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The following reports prescribed in Part E of the Master Directions on Risk Management and Inter-Bank Dealings dated July 5, 2016, as amended from time to time, shall stand withdrawn from the date that these directions come into effect.</w:t>
      </w:r>
    </w:p>
    <w:p w14:paraId="3AA2A7BA" w14:textId="77777777" w:rsidR="00F77130" w:rsidRPr="00C902C8" w:rsidRDefault="00F77130" w:rsidP="00F77130">
      <w:pPr>
        <w:spacing w:after="0" w:line="240" w:lineRule="auto"/>
        <w:jc w:val="both"/>
        <w:rPr>
          <w:rFonts w:ascii="Times New Roman" w:hAnsi="Times New Roman" w:cs="Times New Roman"/>
          <w:sz w:val="24"/>
          <w:szCs w:val="24"/>
        </w:rPr>
      </w:pPr>
    </w:p>
    <w:p w14:paraId="0D095F8B" w14:textId="77777777" w:rsidR="00F77130" w:rsidRPr="00C902C8" w:rsidRDefault="00F77130" w:rsidP="00F77130">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Cross Currency Derivative Transactions (Half yearly) – Annex IV</w:t>
      </w:r>
    </w:p>
    <w:p w14:paraId="3BA30A39" w14:textId="77777777" w:rsidR="00F77130" w:rsidRPr="00C902C8" w:rsidRDefault="00F77130" w:rsidP="00F77130">
      <w:pPr>
        <w:spacing w:after="0" w:line="240" w:lineRule="auto"/>
        <w:jc w:val="both"/>
        <w:rPr>
          <w:rFonts w:ascii="Times New Roman" w:hAnsi="Times New Roman" w:cs="Times New Roman"/>
          <w:sz w:val="24"/>
          <w:szCs w:val="24"/>
        </w:rPr>
      </w:pPr>
    </w:p>
    <w:p w14:paraId="78CC056B" w14:textId="77777777" w:rsidR="00F77130" w:rsidRPr="00C902C8" w:rsidRDefault="00F77130" w:rsidP="00F77130">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Report on Booking of Forward Contracts on Past Performance Basis (Monthly) – Annex X</w:t>
      </w:r>
    </w:p>
    <w:p w14:paraId="45F8DC79" w14:textId="77777777" w:rsidR="00F77130" w:rsidRPr="00C902C8" w:rsidRDefault="00F77130" w:rsidP="00F77130">
      <w:pPr>
        <w:spacing w:after="0" w:line="240" w:lineRule="auto"/>
        <w:jc w:val="both"/>
        <w:rPr>
          <w:rFonts w:ascii="Times New Roman" w:hAnsi="Times New Roman" w:cs="Times New Roman"/>
          <w:sz w:val="24"/>
          <w:szCs w:val="24"/>
        </w:rPr>
      </w:pPr>
    </w:p>
    <w:p w14:paraId="772ED882" w14:textId="77777777" w:rsidR="00F77130" w:rsidRPr="00C902C8" w:rsidRDefault="00F77130" w:rsidP="00F77130">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Details of Forward cover undertaken by FPI clients (Monthly) – Annex XIII</w:t>
      </w:r>
    </w:p>
    <w:p w14:paraId="5B34E92A" w14:textId="77777777" w:rsidR="00F77130" w:rsidRPr="00C902C8" w:rsidRDefault="00F77130" w:rsidP="00F77130">
      <w:pPr>
        <w:spacing w:after="0" w:line="240" w:lineRule="auto"/>
        <w:jc w:val="both"/>
        <w:rPr>
          <w:rFonts w:ascii="Times New Roman" w:hAnsi="Times New Roman" w:cs="Times New Roman"/>
          <w:sz w:val="24"/>
          <w:szCs w:val="24"/>
        </w:rPr>
      </w:pPr>
    </w:p>
    <w:p w14:paraId="17E1C681" w14:textId="77777777" w:rsidR="00F77130" w:rsidRPr="00C902C8" w:rsidRDefault="00F77130" w:rsidP="00F77130">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Details of Forward Contracts/Options booked and cancelled by SMEs and Resident Individuals, Firms and Companies within the first week of the following month (Quarterly) – Annex XIV</w:t>
      </w:r>
    </w:p>
    <w:p w14:paraId="4B88F8F6" w14:textId="77777777" w:rsidR="00F77130" w:rsidRPr="00C902C8" w:rsidRDefault="00F77130" w:rsidP="00F77130">
      <w:pPr>
        <w:spacing w:after="0" w:line="240" w:lineRule="auto"/>
        <w:jc w:val="both"/>
        <w:rPr>
          <w:rFonts w:ascii="Times New Roman" w:hAnsi="Times New Roman" w:cs="Times New Roman"/>
          <w:sz w:val="24"/>
          <w:szCs w:val="24"/>
        </w:rPr>
      </w:pPr>
    </w:p>
    <w:p w14:paraId="60C3D4C0" w14:textId="77777777" w:rsidR="00F77130" w:rsidRPr="00C902C8" w:rsidRDefault="00F77130" w:rsidP="00F77130">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Derivative Transactions undertaken by Non-Resident Importer/Exporter (Quarterly) – Annex XIX</w:t>
      </w:r>
    </w:p>
    <w:p w14:paraId="53C5AC5B" w14:textId="77777777" w:rsidR="00F77130" w:rsidRPr="00C902C8" w:rsidRDefault="00F77130" w:rsidP="00F77130">
      <w:pPr>
        <w:spacing w:after="0" w:line="240" w:lineRule="auto"/>
        <w:jc w:val="both"/>
        <w:rPr>
          <w:rFonts w:ascii="Times New Roman" w:hAnsi="Times New Roman" w:cs="Times New Roman"/>
          <w:sz w:val="24"/>
          <w:szCs w:val="24"/>
        </w:rPr>
      </w:pPr>
    </w:p>
    <w:p w14:paraId="6171FA65"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6. The directions contained in this circular have been issued under Sections 10(4) and 11(1) of the Foreign Exchange Management Act, 1999 (42 of 1999) and are without prejudice to permissions/ approvals, if any, required under any other law.</w:t>
      </w:r>
    </w:p>
    <w:p w14:paraId="6C9FDEA3" w14:textId="77777777" w:rsidR="00F77130" w:rsidRPr="00C902C8" w:rsidRDefault="00F77130" w:rsidP="00F77130">
      <w:pPr>
        <w:pBdr>
          <w:bottom w:val="single" w:sz="12" w:space="1" w:color="auto"/>
        </w:pBdr>
        <w:spacing w:after="0" w:line="240" w:lineRule="auto"/>
        <w:jc w:val="both"/>
        <w:rPr>
          <w:rFonts w:ascii="Times New Roman" w:hAnsi="Times New Roman" w:cs="Times New Roman"/>
          <w:sz w:val="24"/>
          <w:szCs w:val="24"/>
        </w:rPr>
      </w:pPr>
    </w:p>
    <w:p w14:paraId="4C2D0D46" w14:textId="77777777" w:rsidR="00F77130" w:rsidRPr="00C902C8" w:rsidRDefault="00F77130" w:rsidP="00F77130">
      <w:pPr>
        <w:spacing w:after="0" w:line="240" w:lineRule="auto"/>
        <w:jc w:val="both"/>
        <w:rPr>
          <w:rFonts w:ascii="Times New Roman" w:hAnsi="Times New Roman" w:cs="Times New Roman"/>
          <w:sz w:val="24"/>
          <w:szCs w:val="24"/>
        </w:rPr>
      </w:pPr>
    </w:p>
    <w:p w14:paraId="5B917576" w14:textId="77777777" w:rsidR="00F77130" w:rsidRDefault="00F77130" w:rsidP="00F77130">
      <w:pPr>
        <w:spacing w:after="0" w:line="240" w:lineRule="auto"/>
        <w:jc w:val="both"/>
        <w:rPr>
          <w:rFonts w:ascii="Times New Roman" w:hAnsi="Times New Roman" w:cs="Times New Roman"/>
          <w:b/>
          <w:bCs/>
          <w:sz w:val="24"/>
          <w:szCs w:val="24"/>
        </w:rPr>
      </w:pPr>
      <w:bookmarkStart w:id="1" w:name="_Hlk43632073"/>
    </w:p>
    <w:p w14:paraId="7654134B" w14:textId="77777777" w:rsidR="00F77130" w:rsidRDefault="00F77130" w:rsidP="00F7713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Risk Management and Inter-bank Dealings – Hedging of Foreign Exchange Risk-Date of Implementation</w:t>
      </w:r>
    </w:p>
    <w:p w14:paraId="127525E0" w14:textId="77777777" w:rsidR="00F77130" w:rsidRPr="00C902C8" w:rsidRDefault="00F77130" w:rsidP="00F77130">
      <w:pPr>
        <w:spacing w:after="0" w:line="240" w:lineRule="auto"/>
        <w:jc w:val="both"/>
        <w:rPr>
          <w:rFonts w:ascii="Times New Roman" w:hAnsi="Times New Roman" w:cs="Times New Roman"/>
          <w:b/>
          <w:bCs/>
          <w:sz w:val="24"/>
          <w:szCs w:val="24"/>
        </w:rPr>
      </w:pPr>
    </w:p>
    <w:p w14:paraId="333ABF25"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RBI/2019-20/232 </w:t>
      </w:r>
      <w:proofErr w:type="gramStart"/>
      <w:r w:rsidRPr="00C902C8">
        <w:rPr>
          <w:rFonts w:ascii="Times New Roman" w:hAnsi="Times New Roman" w:cs="Times New Roman"/>
          <w:sz w:val="24"/>
          <w:szCs w:val="24"/>
        </w:rPr>
        <w:t>A.P.(</w:t>
      </w:r>
      <w:proofErr w:type="gramEnd"/>
      <w:r w:rsidRPr="00C902C8">
        <w:rPr>
          <w:rFonts w:ascii="Times New Roman" w:hAnsi="Times New Roman" w:cs="Times New Roman"/>
          <w:sz w:val="24"/>
          <w:szCs w:val="24"/>
        </w:rPr>
        <w:t xml:space="preserve">DIR Series) Circular No.31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18, 2020</w:t>
      </w:r>
    </w:p>
    <w:p w14:paraId="6FC3ADD4" w14:textId="77777777" w:rsidR="00F77130" w:rsidRPr="00C902C8" w:rsidRDefault="00F77130" w:rsidP="00F77130">
      <w:pPr>
        <w:spacing w:after="0" w:line="240" w:lineRule="auto"/>
        <w:jc w:val="both"/>
        <w:rPr>
          <w:rFonts w:ascii="Times New Roman" w:hAnsi="Times New Roman" w:cs="Times New Roman"/>
          <w:sz w:val="24"/>
          <w:szCs w:val="24"/>
        </w:rPr>
      </w:pPr>
    </w:p>
    <w:p w14:paraId="40F0917B"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6809F213"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Authorised Dealers Category – I</w:t>
      </w:r>
    </w:p>
    <w:p w14:paraId="6098AD4D" w14:textId="77777777" w:rsidR="00F77130" w:rsidRPr="00C902C8" w:rsidRDefault="00F77130" w:rsidP="00F77130">
      <w:pPr>
        <w:spacing w:after="0" w:line="240" w:lineRule="auto"/>
        <w:jc w:val="both"/>
        <w:rPr>
          <w:rFonts w:ascii="Times New Roman" w:hAnsi="Times New Roman" w:cs="Times New Roman"/>
          <w:sz w:val="24"/>
          <w:szCs w:val="24"/>
        </w:rPr>
      </w:pPr>
    </w:p>
    <w:p w14:paraId="5C3D3A1D"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reference is invited to the Directions on Hedging of Foreign Exchange Risk issued vide A.P. (DIR Series) Circular No. 29 dated April 7, 2020. The Directions were to come into effect from June 1, 2020.</w:t>
      </w:r>
    </w:p>
    <w:p w14:paraId="33EB4DE4" w14:textId="77777777" w:rsidR="00F77130" w:rsidRPr="00C902C8" w:rsidRDefault="00F77130" w:rsidP="00F77130">
      <w:pPr>
        <w:spacing w:after="0" w:line="240" w:lineRule="auto"/>
        <w:jc w:val="both"/>
        <w:rPr>
          <w:rFonts w:ascii="Times New Roman" w:hAnsi="Times New Roman" w:cs="Times New Roman"/>
          <w:sz w:val="24"/>
          <w:szCs w:val="24"/>
        </w:rPr>
      </w:pPr>
    </w:p>
    <w:p w14:paraId="6517F81F"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Based on the requests received from market participants and in the context of the difficulties arising from the outbreak of novel coronavirus disease (COVID-19), it has been decided that the Directions will now come into effect from September 1, 2020.</w:t>
      </w:r>
    </w:p>
    <w:p w14:paraId="6396A45C" w14:textId="77777777" w:rsidR="00F77130" w:rsidRPr="00C902C8" w:rsidRDefault="00F77130" w:rsidP="00F77130">
      <w:pPr>
        <w:spacing w:after="0" w:line="240" w:lineRule="auto"/>
        <w:jc w:val="both"/>
        <w:rPr>
          <w:rFonts w:ascii="Times New Roman" w:hAnsi="Times New Roman" w:cs="Times New Roman"/>
          <w:sz w:val="24"/>
          <w:szCs w:val="24"/>
        </w:rPr>
      </w:pPr>
    </w:p>
    <w:p w14:paraId="252C5B3A"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Directions on the participation of Banks in Offshore Non-deliverable Rupee Derivative Markets issued vide A.P. (DIR Series) Circular No. 23 dated March 27, 2020 will come into effect from June 1, 2020, as hitherto.</w:t>
      </w:r>
    </w:p>
    <w:p w14:paraId="31B498F0" w14:textId="77777777" w:rsidR="00F77130" w:rsidRPr="00C902C8" w:rsidRDefault="00F77130" w:rsidP="00F77130">
      <w:pPr>
        <w:spacing w:after="0" w:line="240" w:lineRule="auto"/>
        <w:jc w:val="both"/>
        <w:rPr>
          <w:rFonts w:ascii="Times New Roman" w:hAnsi="Times New Roman" w:cs="Times New Roman"/>
          <w:sz w:val="24"/>
          <w:szCs w:val="24"/>
        </w:rPr>
      </w:pPr>
    </w:p>
    <w:p w14:paraId="785BF2FF"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contained in this circular have been issued under Sections 10(4) and 11(1) of the Foreign Exchange Management Act, 1999 (42 of 1999) and are without prejudice to permissions/ approvals, if any, required under any other law.</w:t>
      </w:r>
    </w:p>
    <w:p w14:paraId="7A86093C" w14:textId="77777777" w:rsidR="00F77130" w:rsidRPr="00C902C8" w:rsidRDefault="00F77130" w:rsidP="00F77130">
      <w:pPr>
        <w:pBdr>
          <w:bottom w:val="single" w:sz="12" w:space="1" w:color="auto"/>
        </w:pBdr>
        <w:spacing w:after="0" w:line="240" w:lineRule="auto"/>
        <w:jc w:val="both"/>
        <w:rPr>
          <w:rFonts w:ascii="Times New Roman" w:hAnsi="Times New Roman" w:cs="Times New Roman"/>
          <w:sz w:val="24"/>
          <w:szCs w:val="24"/>
        </w:rPr>
      </w:pPr>
    </w:p>
    <w:bookmarkEnd w:id="1"/>
    <w:p w14:paraId="031D3285" w14:textId="77777777" w:rsidR="00F77130" w:rsidRPr="00C902C8" w:rsidRDefault="00F77130" w:rsidP="00F77130">
      <w:pPr>
        <w:spacing w:after="0" w:line="240" w:lineRule="auto"/>
        <w:jc w:val="both"/>
        <w:rPr>
          <w:rFonts w:ascii="Times New Roman" w:hAnsi="Times New Roman" w:cs="Times New Roman"/>
          <w:sz w:val="24"/>
          <w:szCs w:val="24"/>
        </w:rPr>
      </w:pPr>
    </w:p>
    <w:p w14:paraId="329A8438" w14:textId="77777777" w:rsidR="00F77130" w:rsidRDefault="00F77130" w:rsidP="00F77130">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Basel III Framework on Liquidity Standards – Net Stable Funding Ratio (NSFR)</w:t>
      </w:r>
    </w:p>
    <w:p w14:paraId="6CCF2418" w14:textId="77777777" w:rsidR="00F77130" w:rsidRPr="00C902C8" w:rsidRDefault="00F77130" w:rsidP="00F77130">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14:paraId="61A89F0F" w14:textId="77777777" w:rsidR="00F77130" w:rsidRPr="00C902C8" w:rsidRDefault="00F77130" w:rsidP="00F7713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RBI/2019-20/187 DOR.BP.BC.No.46/21.04.098/2019-20 </w:t>
      </w:r>
      <w:r w:rsidRPr="00C902C8">
        <w:rPr>
          <w:rFonts w:ascii="Times New Roman" w:eastAsia="Times New Roman" w:hAnsi="Times New Roman" w:cs="Times New Roman"/>
          <w:color w:val="000000"/>
          <w:sz w:val="24"/>
          <w:szCs w:val="24"/>
          <w:lang w:eastAsia="en-IN"/>
        </w:rPr>
        <w:tab/>
      </w:r>
      <w:r w:rsidRPr="00C902C8">
        <w:rPr>
          <w:rFonts w:ascii="Times New Roman" w:eastAsia="Times New Roman" w:hAnsi="Times New Roman" w:cs="Times New Roman"/>
          <w:color w:val="000000"/>
          <w:sz w:val="24"/>
          <w:szCs w:val="24"/>
          <w:lang w:eastAsia="en-IN"/>
        </w:rPr>
        <w:tab/>
      </w:r>
      <w:r w:rsidRPr="00C902C8">
        <w:rPr>
          <w:rFonts w:ascii="Times New Roman" w:eastAsia="Times New Roman" w:hAnsi="Times New Roman" w:cs="Times New Roman"/>
          <w:color w:val="000000"/>
          <w:sz w:val="24"/>
          <w:szCs w:val="24"/>
          <w:lang w:eastAsia="en-IN"/>
        </w:rPr>
        <w:tab/>
        <w:t>March 27, 2020</w:t>
      </w:r>
    </w:p>
    <w:p w14:paraId="1CEAE37C" w14:textId="77777777" w:rsidR="00F77130" w:rsidRPr="00C902C8" w:rsidRDefault="00F77130" w:rsidP="00F7713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A25C823" w14:textId="77777777" w:rsidR="00F77130" w:rsidRPr="00C902C8" w:rsidRDefault="00F77130" w:rsidP="00F7713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All Scheduled Commercial Banks (excluding RRBs)</w:t>
      </w:r>
    </w:p>
    <w:p w14:paraId="167BDA7B" w14:textId="77777777" w:rsidR="00F77130" w:rsidRPr="00C902C8" w:rsidRDefault="00F77130" w:rsidP="00F7713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28796C96" w14:textId="77777777" w:rsidR="00F77130" w:rsidRPr="00C902C8" w:rsidRDefault="00F77130" w:rsidP="00F7713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Please refer to paragraph 8 of Statement on Developmental and Regulatory Policies of Seventh Bi-monthly Monetary Policy Statement, 2019-20 dated March 27, 2020 and our circular DBR.BP.BC.No.08/21.04.098/2018-19 dated November 29, 2018 on final Net Stable Funding Ratio (NSFR) guidelines.</w:t>
      </w:r>
    </w:p>
    <w:p w14:paraId="55479068" w14:textId="77777777" w:rsidR="00F77130" w:rsidRPr="00C902C8" w:rsidRDefault="00F77130" w:rsidP="00F7713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57BBE6C" w14:textId="77777777" w:rsidR="00F77130" w:rsidRPr="00C902C8" w:rsidRDefault="00F77130" w:rsidP="00F7713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2. On a review, it has now been decided to defer the implementation of NSFR guidelines by six months. These guidelines will now come into effect from October 1, 2020 as against April 1, 2020.</w:t>
      </w:r>
    </w:p>
    <w:p w14:paraId="67450A80" w14:textId="77777777" w:rsidR="00F77130" w:rsidRPr="00C902C8" w:rsidRDefault="00F77130" w:rsidP="00F77130">
      <w:pPr>
        <w:pBdr>
          <w:bottom w:val="single" w:sz="12" w:space="1" w:color="auto"/>
        </w:pBdr>
        <w:spacing w:after="0" w:line="240" w:lineRule="auto"/>
        <w:jc w:val="both"/>
        <w:rPr>
          <w:rFonts w:ascii="Times New Roman" w:hAnsi="Times New Roman" w:cs="Times New Roman"/>
          <w:sz w:val="24"/>
          <w:szCs w:val="24"/>
        </w:rPr>
      </w:pPr>
    </w:p>
    <w:p w14:paraId="5EB0C576" w14:textId="77777777" w:rsidR="00F77130" w:rsidRPr="00C902C8" w:rsidRDefault="00F77130" w:rsidP="00F77130">
      <w:pPr>
        <w:spacing w:after="0" w:line="240" w:lineRule="auto"/>
        <w:jc w:val="both"/>
        <w:rPr>
          <w:rFonts w:ascii="Times New Roman" w:hAnsi="Times New Roman" w:cs="Times New Roman"/>
          <w:sz w:val="24"/>
          <w:szCs w:val="24"/>
        </w:rPr>
      </w:pPr>
    </w:p>
    <w:p w14:paraId="00E8EC4E" w14:textId="4D37803E" w:rsidR="00F77130" w:rsidRDefault="00F77130" w:rsidP="00F77130">
      <w:pPr>
        <w:spacing w:after="0" w:line="240" w:lineRule="auto"/>
        <w:jc w:val="both"/>
        <w:rPr>
          <w:rFonts w:ascii="Times New Roman" w:hAnsi="Times New Roman" w:cs="Times New Roman"/>
          <w:b/>
          <w:bCs/>
          <w:sz w:val="24"/>
          <w:szCs w:val="24"/>
        </w:rPr>
      </w:pPr>
    </w:p>
    <w:p w14:paraId="653FAF86" w14:textId="573DA230" w:rsidR="00F77130" w:rsidRDefault="00F77130" w:rsidP="00F77130">
      <w:pPr>
        <w:spacing w:after="0" w:line="240" w:lineRule="auto"/>
        <w:jc w:val="both"/>
        <w:rPr>
          <w:rFonts w:ascii="Times New Roman" w:hAnsi="Times New Roman" w:cs="Times New Roman"/>
          <w:b/>
          <w:bCs/>
          <w:sz w:val="24"/>
          <w:szCs w:val="24"/>
        </w:rPr>
      </w:pPr>
    </w:p>
    <w:p w14:paraId="7283E499" w14:textId="77777777" w:rsidR="00F77130" w:rsidRDefault="00F77130" w:rsidP="00F77130">
      <w:pPr>
        <w:spacing w:after="0" w:line="240" w:lineRule="auto"/>
        <w:jc w:val="both"/>
        <w:rPr>
          <w:rFonts w:ascii="Times New Roman" w:hAnsi="Times New Roman" w:cs="Times New Roman"/>
          <w:b/>
          <w:bCs/>
          <w:sz w:val="24"/>
          <w:szCs w:val="24"/>
        </w:rPr>
      </w:pPr>
    </w:p>
    <w:p w14:paraId="02BE27AF" w14:textId="77777777" w:rsidR="00F77130" w:rsidRDefault="00F77130" w:rsidP="00F7713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lastRenderedPageBreak/>
        <w:t>Basel III Capital Regulations - Review of transitional arrangements</w:t>
      </w:r>
    </w:p>
    <w:p w14:paraId="540512A8" w14:textId="77777777" w:rsidR="00F77130" w:rsidRPr="00C902C8" w:rsidRDefault="00F77130" w:rsidP="00F77130">
      <w:pPr>
        <w:spacing w:after="0" w:line="240" w:lineRule="auto"/>
        <w:jc w:val="both"/>
        <w:rPr>
          <w:rFonts w:ascii="Times New Roman" w:hAnsi="Times New Roman" w:cs="Times New Roman"/>
          <w:b/>
          <w:bCs/>
          <w:sz w:val="24"/>
          <w:szCs w:val="24"/>
        </w:rPr>
      </w:pPr>
    </w:p>
    <w:p w14:paraId="61A99134"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RBI/2019-20/188 DOR.BP.BC.No.45/21.06.201/2019-20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27, 2020</w:t>
      </w:r>
    </w:p>
    <w:p w14:paraId="41346523" w14:textId="77777777" w:rsidR="00F77130" w:rsidRPr="00C902C8" w:rsidRDefault="00F77130" w:rsidP="00F77130">
      <w:pPr>
        <w:spacing w:after="0" w:line="240" w:lineRule="auto"/>
        <w:jc w:val="both"/>
        <w:rPr>
          <w:rFonts w:ascii="Times New Roman" w:hAnsi="Times New Roman" w:cs="Times New Roman"/>
          <w:sz w:val="24"/>
          <w:szCs w:val="24"/>
        </w:rPr>
      </w:pPr>
    </w:p>
    <w:p w14:paraId="1218C31D"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RRBs and LABs)</w:t>
      </w:r>
    </w:p>
    <w:p w14:paraId="5B01E961" w14:textId="77777777" w:rsidR="00F77130" w:rsidRPr="00C902C8" w:rsidRDefault="00F77130" w:rsidP="00F77130">
      <w:pPr>
        <w:spacing w:after="0" w:line="240" w:lineRule="auto"/>
        <w:jc w:val="both"/>
        <w:rPr>
          <w:rFonts w:ascii="Times New Roman" w:hAnsi="Times New Roman" w:cs="Times New Roman"/>
          <w:sz w:val="24"/>
          <w:szCs w:val="24"/>
        </w:rPr>
      </w:pPr>
    </w:p>
    <w:p w14:paraId="736310C4"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As announced in para 9 of the Statement on Developmental and Regulatory Policies issued along with the Seventh Bi-monthly Monetary Policy Statement 2019-20, the implementation of the last tranche of 0.625% of Capital Conservation Buffer (CCB) shall stand deferred from March 31, 2020 to September 30, 2020.</w:t>
      </w:r>
    </w:p>
    <w:p w14:paraId="3A8729F0" w14:textId="77777777" w:rsidR="00F77130" w:rsidRPr="00C902C8" w:rsidRDefault="00F77130" w:rsidP="00F77130">
      <w:pPr>
        <w:spacing w:after="0" w:line="240" w:lineRule="auto"/>
        <w:jc w:val="both"/>
        <w:rPr>
          <w:rFonts w:ascii="Times New Roman" w:hAnsi="Times New Roman" w:cs="Times New Roman"/>
          <w:sz w:val="24"/>
          <w:szCs w:val="24"/>
        </w:rPr>
      </w:pPr>
    </w:p>
    <w:p w14:paraId="6E60A40B"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Accordingly, minimum capital conservation ratios in para 15.2.2 of Part D ‘Capital Conservation Buffer Framework’ of Master Circular, DBR.No.BP.BC.1/21.06.201/2015-16 dated July 1, 2015 on ‘Basel III Capital Regulations’, as applicable from March 31, 2018, will also apply for a further period of six months from March 31, 2020 till the CCB attains the level of 2.5% on September 30, 2020.</w:t>
      </w:r>
    </w:p>
    <w:p w14:paraId="0C821B42" w14:textId="77777777" w:rsidR="00F77130" w:rsidRPr="00C902C8" w:rsidRDefault="00F77130" w:rsidP="00F77130">
      <w:pPr>
        <w:spacing w:after="0" w:line="240" w:lineRule="auto"/>
        <w:jc w:val="both"/>
        <w:rPr>
          <w:rFonts w:ascii="Times New Roman" w:hAnsi="Times New Roman" w:cs="Times New Roman"/>
          <w:sz w:val="24"/>
          <w:szCs w:val="24"/>
        </w:rPr>
      </w:pPr>
    </w:p>
    <w:p w14:paraId="765C5DC2"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Further, the pre-specified trigger for loss absorption through conversion / write-down of Additional Tier 1 instruments (PNCPS and PDI) shall remain at 5.5% of RWAs and will rise to 6.125% of RWAs on September 30, 2020.</w:t>
      </w:r>
    </w:p>
    <w:p w14:paraId="5085D0D0" w14:textId="77777777" w:rsidR="00F77130" w:rsidRPr="00C902C8" w:rsidRDefault="00F77130" w:rsidP="00F77130">
      <w:pPr>
        <w:pBdr>
          <w:bottom w:val="single" w:sz="12" w:space="1" w:color="auto"/>
        </w:pBdr>
        <w:spacing w:after="0" w:line="240" w:lineRule="auto"/>
        <w:jc w:val="both"/>
        <w:rPr>
          <w:rFonts w:ascii="Times New Roman" w:hAnsi="Times New Roman" w:cs="Times New Roman"/>
          <w:sz w:val="24"/>
          <w:szCs w:val="24"/>
        </w:rPr>
      </w:pPr>
    </w:p>
    <w:p w14:paraId="4035E665" w14:textId="77777777" w:rsidR="00F77130" w:rsidRDefault="00F77130" w:rsidP="00F77130">
      <w:pPr>
        <w:spacing w:after="0" w:line="240" w:lineRule="auto"/>
        <w:jc w:val="both"/>
        <w:rPr>
          <w:rFonts w:ascii="Times New Roman" w:hAnsi="Times New Roman" w:cs="Times New Roman"/>
          <w:b/>
          <w:bCs/>
          <w:sz w:val="24"/>
          <w:szCs w:val="24"/>
        </w:rPr>
      </w:pPr>
      <w:bookmarkStart w:id="2" w:name="_Hlk43632043"/>
    </w:p>
    <w:p w14:paraId="6ED48BA7" w14:textId="77777777" w:rsidR="00F77130" w:rsidRDefault="00F77130" w:rsidP="00F7713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Basel III Framework on Liquidity Standards – Liquidity Coverage Ratio (LCR)</w:t>
      </w:r>
    </w:p>
    <w:p w14:paraId="6AFE7323" w14:textId="77777777" w:rsidR="00F77130" w:rsidRPr="00C902C8" w:rsidRDefault="00F77130" w:rsidP="00F77130">
      <w:pPr>
        <w:spacing w:after="0" w:line="240" w:lineRule="auto"/>
        <w:jc w:val="both"/>
        <w:rPr>
          <w:rFonts w:ascii="Times New Roman" w:hAnsi="Times New Roman" w:cs="Times New Roman"/>
          <w:b/>
          <w:bCs/>
          <w:sz w:val="24"/>
          <w:szCs w:val="24"/>
        </w:rPr>
      </w:pPr>
    </w:p>
    <w:p w14:paraId="3E93EE17"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RBI/2019-20/217 DOR.BP.BC.No.65/21.04.098/2019-20</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17, 2020</w:t>
      </w:r>
    </w:p>
    <w:p w14:paraId="4C21C33E" w14:textId="77777777" w:rsidR="00F77130" w:rsidRPr="00C902C8" w:rsidRDefault="00F77130" w:rsidP="00F77130">
      <w:pPr>
        <w:spacing w:after="0" w:line="240" w:lineRule="auto"/>
        <w:jc w:val="both"/>
        <w:rPr>
          <w:rFonts w:ascii="Times New Roman" w:hAnsi="Times New Roman" w:cs="Times New Roman"/>
          <w:sz w:val="24"/>
          <w:szCs w:val="24"/>
        </w:rPr>
      </w:pPr>
    </w:p>
    <w:p w14:paraId="464C0806"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Commercial Banks</w:t>
      </w:r>
    </w:p>
    <w:p w14:paraId="6DDCBA99"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(excluding Regional Rural Banks, Local Area </w:t>
      </w:r>
      <w:proofErr w:type="gramStart"/>
      <w:r w:rsidRPr="00C902C8">
        <w:rPr>
          <w:rFonts w:ascii="Times New Roman" w:hAnsi="Times New Roman" w:cs="Times New Roman"/>
          <w:sz w:val="24"/>
          <w:szCs w:val="24"/>
        </w:rPr>
        <w:t>Banks</w:t>
      </w:r>
      <w:proofErr w:type="gramEnd"/>
      <w:r w:rsidRPr="00C902C8">
        <w:rPr>
          <w:rFonts w:ascii="Times New Roman" w:hAnsi="Times New Roman" w:cs="Times New Roman"/>
          <w:sz w:val="24"/>
          <w:szCs w:val="24"/>
        </w:rPr>
        <w:t xml:space="preserve"> and Payments Banks)</w:t>
      </w:r>
    </w:p>
    <w:p w14:paraId="47EF796A" w14:textId="77777777" w:rsidR="00F77130" w:rsidRPr="00C902C8" w:rsidRDefault="00F77130" w:rsidP="00F77130">
      <w:pPr>
        <w:spacing w:after="0" w:line="240" w:lineRule="auto"/>
        <w:jc w:val="both"/>
        <w:rPr>
          <w:rFonts w:ascii="Times New Roman" w:hAnsi="Times New Roman" w:cs="Times New Roman"/>
          <w:sz w:val="24"/>
          <w:szCs w:val="24"/>
        </w:rPr>
      </w:pPr>
    </w:p>
    <w:p w14:paraId="4911BED5"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our circular DBOD.BP.BC.No.120/21.04.098/2013-14 dated June 9, 2014 and associated circulars thereon.</w:t>
      </w:r>
    </w:p>
    <w:p w14:paraId="48D2DDBA" w14:textId="77777777" w:rsidR="00F77130" w:rsidRPr="00C902C8" w:rsidRDefault="00F77130" w:rsidP="00F77130">
      <w:pPr>
        <w:spacing w:after="0" w:line="240" w:lineRule="auto"/>
        <w:jc w:val="both"/>
        <w:rPr>
          <w:rFonts w:ascii="Times New Roman" w:hAnsi="Times New Roman" w:cs="Times New Roman"/>
          <w:sz w:val="24"/>
          <w:szCs w:val="24"/>
        </w:rPr>
      </w:pPr>
    </w:p>
    <w:p w14:paraId="5C90F512"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As part of post Global Financial Crisis (GFC) reforms, Basel Committee on Banking Supervision (BCBS) had introduced Liquidity Coverage Ratio (LCR), which requires banks to maintain High Quality Liquid Assets (HQLAs) to meet 30 days net outgo under stressed conditions. Further, as per Banking Regulation Act, 1949, the banks in India are required to hold liquid assets to maintain Statutory Liquidity Ratio (SLR). In view of the fact that liquid assets under SLR and HQLAs under LCR are largely the same, we have been allowing banks to use a progressively increasing proportion of the SLR securities for being considered as HQLAs for LCR so that the need to maintain liquid assets for both the requirements is optimised.</w:t>
      </w:r>
    </w:p>
    <w:p w14:paraId="40169ED6" w14:textId="77777777" w:rsidR="00F77130" w:rsidRPr="00C902C8" w:rsidRDefault="00F77130" w:rsidP="00F77130">
      <w:pPr>
        <w:spacing w:after="0" w:line="240" w:lineRule="auto"/>
        <w:jc w:val="both"/>
        <w:rPr>
          <w:rFonts w:ascii="Times New Roman" w:hAnsi="Times New Roman" w:cs="Times New Roman"/>
          <w:sz w:val="24"/>
          <w:szCs w:val="24"/>
        </w:rPr>
      </w:pPr>
    </w:p>
    <w:p w14:paraId="3ED855C7"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At present the assets allowed as Level 1 High Quality Liquid Assets (HQLAs), inter alia, includes among others within the mandatory SLR requirement, Government securities to the extent allowed by RBI under (i) Marginal Standing Facility (MSF) and (ii) Facility to Avail Liquidity for Liquidity Coverage Ratio (FALLCR) [15 per cent of the bank's NDTL with effect from April 1, 2020]. Given that SLR has now been reduced to 18 per cent of NDTL from April 11, 2020, and with increase in MSF from 2 per cent to 3 per cent of the banks’ NDTL (with effect from March 27, 2020 and applicable upto June 30, 2020), entire SLR-eligible assets held by banks are now permitted to be reckoned as HQLAs for meeting LCR.</w:t>
      </w:r>
    </w:p>
    <w:p w14:paraId="0C5F8B90" w14:textId="77777777" w:rsidR="00F77130" w:rsidRPr="00C902C8" w:rsidRDefault="00F77130" w:rsidP="00F77130">
      <w:pPr>
        <w:spacing w:after="0" w:line="240" w:lineRule="auto"/>
        <w:jc w:val="both"/>
        <w:rPr>
          <w:rFonts w:ascii="Times New Roman" w:hAnsi="Times New Roman" w:cs="Times New Roman"/>
          <w:sz w:val="24"/>
          <w:szCs w:val="24"/>
        </w:rPr>
      </w:pPr>
    </w:p>
    <w:p w14:paraId="4879C5BD"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Further, banks1 are required to maintain LCR of 100 per cent with effect from January 1, 2019. In order to accommodate the burden on banks’ cash flows on account of the Covid19 pandemic, banks are permitted to maintain LCR as under:</w:t>
      </w:r>
    </w:p>
    <w:p w14:paraId="02A3C6DF" w14:textId="77777777" w:rsidR="00F77130" w:rsidRPr="00C902C8" w:rsidRDefault="00F77130" w:rsidP="00F77130">
      <w:pPr>
        <w:spacing w:after="0" w:line="240" w:lineRule="auto"/>
        <w:jc w:val="both"/>
        <w:rPr>
          <w:rFonts w:ascii="Times New Roman" w:eastAsia="Times New Roman" w:hAnsi="Times New Roman" w:cs="Times New Roman"/>
          <w:sz w:val="24"/>
          <w:szCs w:val="24"/>
          <w:lang w:eastAsia="en-IN"/>
        </w:rPr>
      </w:pPr>
    </w:p>
    <w:tbl>
      <w:tblPr>
        <w:tblW w:w="3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57"/>
        <w:gridCol w:w="2218"/>
      </w:tblGrid>
      <w:tr w:rsidR="00F77130" w:rsidRPr="00C902C8" w14:paraId="1C2F2F74" w14:textId="77777777" w:rsidTr="0067450A">
        <w:trPr>
          <w:jc w:val="center"/>
        </w:trPr>
        <w:tc>
          <w:tcPr>
            <w:tcW w:w="3410" w:type="pct"/>
            <w:tcMar>
              <w:top w:w="0" w:type="dxa"/>
              <w:left w:w="45" w:type="dxa"/>
              <w:bottom w:w="0" w:type="dxa"/>
              <w:right w:w="45" w:type="dxa"/>
            </w:tcMar>
            <w:vAlign w:val="center"/>
            <w:hideMark/>
          </w:tcPr>
          <w:p w14:paraId="6010F901" w14:textId="77777777" w:rsidR="00F77130" w:rsidRPr="00C902C8" w:rsidRDefault="00F77130" w:rsidP="0067450A">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From date of circular to September 30, 2020 -</w:t>
            </w:r>
          </w:p>
        </w:tc>
        <w:tc>
          <w:tcPr>
            <w:tcW w:w="1590" w:type="pct"/>
            <w:tcMar>
              <w:top w:w="0" w:type="dxa"/>
              <w:left w:w="45" w:type="dxa"/>
              <w:bottom w:w="0" w:type="dxa"/>
              <w:right w:w="45" w:type="dxa"/>
            </w:tcMar>
            <w:vAlign w:val="center"/>
            <w:hideMark/>
          </w:tcPr>
          <w:p w14:paraId="062D8AB7" w14:textId="77777777" w:rsidR="00F77130" w:rsidRPr="00C902C8" w:rsidRDefault="00F77130" w:rsidP="0067450A">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80 per cent</w:t>
            </w:r>
          </w:p>
        </w:tc>
      </w:tr>
      <w:tr w:rsidR="00F77130" w:rsidRPr="00C902C8" w14:paraId="78EE8B4D" w14:textId="77777777" w:rsidTr="0067450A">
        <w:trPr>
          <w:jc w:val="center"/>
        </w:trPr>
        <w:tc>
          <w:tcPr>
            <w:tcW w:w="3410" w:type="pct"/>
            <w:tcMar>
              <w:top w:w="0" w:type="dxa"/>
              <w:left w:w="45" w:type="dxa"/>
              <w:bottom w:w="0" w:type="dxa"/>
              <w:right w:w="45" w:type="dxa"/>
            </w:tcMar>
            <w:vAlign w:val="center"/>
            <w:hideMark/>
          </w:tcPr>
          <w:p w14:paraId="593C259E" w14:textId="77777777" w:rsidR="00F77130" w:rsidRPr="00C902C8" w:rsidRDefault="00F77130" w:rsidP="0067450A">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Oct 1, 2020 to March 31, 2021 -</w:t>
            </w:r>
          </w:p>
        </w:tc>
        <w:tc>
          <w:tcPr>
            <w:tcW w:w="0" w:type="auto"/>
            <w:tcMar>
              <w:top w:w="0" w:type="dxa"/>
              <w:left w:w="45" w:type="dxa"/>
              <w:bottom w:w="0" w:type="dxa"/>
              <w:right w:w="45" w:type="dxa"/>
            </w:tcMar>
            <w:vAlign w:val="center"/>
            <w:hideMark/>
          </w:tcPr>
          <w:p w14:paraId="737C0C3E" w14:textId="77777777" w:rsidR="00F77130" w:rsidRPr="00C902C8" w:rsidRDefault="00F77130" w:rsidP="0067450A">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90 per cent</w:t>
            </w:r>
          </w:p>
        </w:tc>
      </w:tr>
      <w:tr w:rsidR="00F77130" w:rsidRPr="00C902C8" w14:paraId="7F946CDA" w14:textId="77777777" w:rsidTr="0067450A">
        <w:trPr>
          <w:jc w:val="center"/>
        </w:trPr>
        <w:tc>
          <w:tcPr>
            <w:tcW w:w="3410" w:type="pct"/>
            <w:tcMar>
              <w:top w:w="0" w:type="dxa"/>
              <w:left w:w="45" w:type="dxa"/>
              <w:bottom w:w="0" w:type="dxa"/>
              <w:right w:w="45" w:type="dxa"/>
            </w:tcMar>
            <w:vAlign w:val="center"/>
            <w:hideMark/>
          </w:tcPr>
          <w:p w14:paraId="7262EEA6" w14:textId="77777777" w:rsidR="00F77130" w:rsidRPr="00C902C8" w:rsidRDefault="00F77130" w:rsidP="0067450A">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April 1, 2021 onwards -</w:t>
            </w:r>
          </w:p>
        </w:tc>
        <w:tc>
          <w:tcPr>
            <w:tcW w:w="0" w:type="auto"/>
            <w:tcMar>
              <w:top w:w="0" w:type="dxa"/>
              <w:left w:w="45" w:type="dxa"/>
              <w:bottom w:w="0" w:type="dxa"/>
              <w:right w:w="45" w:type="dxa"/>
            </w:tcMar>
            <w:vAlign w:val="center"/>
            <w:hideMark/>
          </w:tcPr>
          <w:p w14:paraId="586A42E0" w14:textId="77777777" w:rsidR="00F77130" w:rsidRPr="00C902C8" w:rsidRDefault="00F77130" w:rsidP="0067450A">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100 per cent</w:t>
            </w:r>
          </w:p>
        </w:tc>
      </w:tr>
    </w:tbl>
    <w:p w14:paraId="7C20F375" w14:textId="77777777" w:rsidR="00F77130" w:rsidRPr="00C902C8" w:rsidRDefault="00F77130" w:rsidP="00F77130">
      <w:pPr>
        <w:spacing w:after="0" w:line="240" w:lineRule="auto"/>
        <w:jc w:val="both"/>
        <w:rPr>
          <w:rFonts w:ascii="Times New Roman" w:hAnsi="Times New Roman" w:cs="Times New Roman"/>
          <w:sz w:val="24"/>
          <w:szCs w:val="24"/>
        </w:rPr>
      </w:pPr>
    </w:p>
    <w:p w14:paraId="1728D0E8" w14:textId="77777777" w:rsidR="00F77130" w:rsidRPr="00C902C8" w:rsidRDefault="00F77130" w:rsidP="00F7713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Banks shall prepare LCR restoration plans upon breach of the aforesaid prescribed LCR requirement, for scrutiny by the Department of Supervision, Reserve Bank of India.</w:t>
      </w:r>
    </w:p>
    <w:p w14:paraId="13E3226F" w14:textId="77777777" w:rsidR="00F77130" w:rsidRPr="00C902C8" w:rsidRDefault="00F77130" w:rsidP="00F77130">
      <w:pPr>
        <w:pBdr>
          <w:bottom w:val="single" w:sz="12" w:space="1" w:color="auto"/>
        </w:pBdr>
        <w:spacing w:after="0" w:line="240" w:lineRule="auto"/>
        <w:jc w:val="both"/>
        <w:rPr>
          <w:rFonts w:ascii="Times New Roman" w:hAnsi="Times New Roman" w:cs="Times New Roman"/>
          <w:sz w:val="24"/>
          <w:szCs w:val="24"/>
        </w:rPr>
      </w:pPr>
    </w:p>
    <w:bookmarkEnd w:id="0"/>
    <w:bookmarkEnd w:id="2"/>
    <w:p w14:paraId="0BACC11D" w14:textId="77777777" w:rsidR="00F77130" w:rsidRPr="00C902C8" w:rsidRDefault="00F77130" w:rsidP="00F77130">
      <w:pPr>
        <w:spacing w:after="0" w:line="240" w:lineRule="auto"/>
        <w:jc w:val="both"/>
        <w:rPr>
          <w:rFonts w:ascii="Times New Roman" w:hAnsi="Times New Roman" w:cs="Times New Roman"/>
          <w:sz w:val="24"/>
          <w:szCs w:val="24"/>
        </w:rPr>
      </w:pPr>
    </w:p>
    <w:sectPr w:rsidR="00F77130" w:rsidRPr="00C902C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2190D" w14:textId="77777777" w:rsidR="00C81BCE" w:rsidRDefault="00C81BCE" w:rsidP="00064158">
      <w:pPr>
        <w:spacing w:after="0" w:line="240" w:lineRule="auto"/>
      </w:pPr>
      <w:r>
        <w:separator/>
      </w:r>
    </w:p>
  </w:endnote>
  <w:endnote w:type="continuationSeparator" w:id="0">
    <w:p w14:paraId="08BDCD01" w14:textId="77777777" w:rsidR="00C81BCE" w:rsidRDefault="00C81BCE" w:rsidP="0006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401276"/>
      <w:docPartObj>
        <w:docPartGallery w:val="Page Numbers (Bottom of Page)"/>
        <w:docPartUnique/>
      </w:docPartObj>
    </w:sdtPr>
    <w:sdtEndPr>
      <w:rPr>
        <w:noProof/>
      </w:rPr>
    </w:sdtEndPr>
    <w:sdtContent>
      <w:p w14:paraId="1F1681E7" w14:textId="461DEBA8" w:rsidR="00E112B6" w:rsidRDefault="00E112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FDF365" w14:textId="77777777" w:rsidR="00E112B6" w:rsidRDefault="00E11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C0205" w14:textId="77777777" w:rsidR="00C81BCE" w:rsidRDefault="00C81BCE" w:rsidP="00064158">
      <w:pPr>
        <w:spacing w:after="0" w:line="240" w:lineRule="auto"/>
      </w:pPr>
      <w:r>
        <w:separator/>
      </w:r>
    </w:p>
  </w:footnote>
  <w:footnote w:type="continuationSeparator" w:id="0">
    <w:p w14:paraId="37A55460" w14:textId="77777777" w:rsidR="00C81BCE" w:rsidRDefault="00C81BCE" w:rsidP="00064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1463"/>
    <w:multiLevelType w:val="hybridMultilevel"/>
    <w:tmpl w:val="C06CA4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2B7DE9"/>
    <w:multiLevelType w:val="hybridMultilevel"/>
    <w:tmpl w:val="555619A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6937CB"/>
    <w:multiLevelType w:val="hybridMultilevel"/>
    <w:tmpl w:val="5DD638F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0E66A4"/>
    <w:multiLevelType w:val="hybridMultilevel"/>
    <w:tmpl w:val="C1E4C0BC"/>
    <w:lvl w:ilvl="0" w:tplc="8B9A29BA">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8D0F4F4">
      <w:start w:val="1"/>
      <w:numFmt w:val="lowerLetter"/>
      <w:lvlText w:val="(%2)"/>
      <w:lvlJc w:val="left"/>
      <w:pPr>
        <w:ind w:left="12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E266D1A">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CDA72BC">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19A7800">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8C0CF90">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1FC81D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FECD25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D5EB1C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03D954F5"/>
    <w:multiLevelType w:val="hybridMultilevel"/>
    <w:tmpl w:val="00503F1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49E5BBF"/>
    <w:multiLevelType w:val="hybridMultilevel"/>
    <w:tmpl w:val="FB4645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6B16BD1"/>
    <w:multiLevelType w:val="hybridMultilevel"/>
    <w:tmpl w:val="EB6AD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7962D95"/>
    <w:multiLevelType w:val="hybridMultilevel"/>
    <w:tmpl w:val="DA963E52"/>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7EA49A5"/>
    <w:multiLevelType w:val="hybridMultilevel"/>
    <w:tmpl w:val="E5B8736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8997765"/>
    <w:multiLevelType w:val="hybridMultilevel"/>
    <w:tmpl w:val="C1AEBC7A"/>
    <w:lvl w:ilvl="0" w:tplc="40090019">
      <w:start w:val="1"/>
      <w:numFmt w:val="lowerLetter"/>
      <w:lvlText w:val="%1."/>
      <w:lvlJc w:val="left"/>
      <w:pPr>
        <w:ind w:left="720" w:hanging="360"/>
      </w:pPr>
    </w:lvl>
    <w:lvl w:ilvl="1" w:tplc="2F08C696">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9CD29F4"/>
    <w:multiLevelType w:val="hybridMultilevel"/>
    <w:tmpl w:val="821E3F3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A871A94"/>
    <w:multiLevelType w:val="hybridMultilevel"/>
    <w:tmpl w:val="934406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BE32A15"/>
    <w:multiLevelType w:val="hybridMultilevel"/>
    <w:tmpl w:val="498E483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BE32AB6"/>
    <w:multiLevelType w:val="hybridMultilevel"/>
    <w:tmpl w:val="A7BC46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D0D5F75"/>
    <w:multiLevelType w:val="hybridMultilevel"/>
    <w:tmpl w:val="CEAAFE6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DBE6E41"/>
    <w:multiLevelType w:val="hybridMultilevel"/>
    <w:tmpl w:val="E08AA3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DF53165"/>
    <w:multiLevelType w:val="hybridMultilevel"/>
    <w:tmpl w:val="4D0053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EB30D4D"/>
    <w:multiLevelType w:val="hybridMultilevel"/>
    <w:tmpl w:val="C5A2603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F445043"/>
    <w:multiLevelType w:val="hybridMultilevel"/>
    <w:tmpl w:val="DFF8E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09437F8"/>
    <w:multiLevelType w:val="hybridMultilevel"/>
    <w:tmpl w:val="EDEE86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2A20210"/>
    <w:multiLevelType w:val="hybridMultilevel"/>
    <w:tmpl w:val="99D4D1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3F66B1D"/>
    <w:multiLevelType w:val="hybridMultilevel"/>
    <w:tmpl w:val="FCC6BB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648708F"/>
    <w:multiLevelType w:val="hybridMultilevel"/>
    <w:tmpl w:val="ED74FE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6770D80"/>
    <w:multiLevelType w:val="hybridMultilevel"/>
    <w:tmpl w:val="358218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6A205F8"/>
    <w:multiLevelType w:val="hybridMultilevel"/>
    <w:tmpl w:val="4A7E455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78D379D"/>
    <w:multiLevelType w:val="hybridMultilevel"/>
    <w:tmpl w:val="8488B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186E5AAA"/>
    <w:multiLevelType w:val="hybridMultilevel"/>
    <w:tmpl w:val="C7B4B6E0"/>
    <w:lvl w:ilvl="0" w:tplc="1D6C3BEE">
      <w:start w:val="12"/>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9D6A66BA">
      <w:start w:val="1"/>
      <w:numFmt w:val="lowerLetter"/>
      <w:lvlText w:val="%2"/>
      <w:lvlJc w:val="left"/>
      <w:pPr>
        <w:ind w:left="27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84B0D0FC">
      <w:start w:val="1"/>
      <w:numFmt w:val="lowerRoman"/>
      <w:lvlText w:val="%3"/>
      <w:lvlJc w:val="left"/>
      <w:pPr>
        <w:ind w:left="34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DE920EC4">
      <w:start w:val="1"/>
      <w:numFmt w:val="decimal"/>
      <w:lvlText w:val="%4"/>
      <w:lvlJc w:val="left"/>
      <w:pPr>
        <w:ind w:left="4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CE66C82C">
      <w:start w:val="1"/>
      <w:numFmt w:val="lowerLetter"/>
      <w:lvlText w:val="%5"/>
      <w:lvlJc w:val="left"/>
      <w:pPr>
        <w:ind w:left="49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B7A27750">
      <w:start w:val="1"/>
      <w:numFmt w:val="lowerRoman"/>
      <w:lvlText w:val="%6"/>
      <w:lvlJc w:val="left"/>
      <w:pPr>
        <w:ind w:left="564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D95659D8">
      <w:start w:val="1"/>
      <w:numFmt w:val="decimal"/>
      <w:lvlText w:val="%7"/>
      <w:lvlJc w:val="left"/>
      <w:pPr>
        <w:ind w:left="63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0F3A6930">
      <w:start w:val="1"/>
      <w:numFmt w:val="lowerLetter"/>
      <w:lvlText w:val="%8"/>
      <w:lvlJc w:val="left"/>
      <w:pPr>
        <w:ind w:left="70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D7880DA2">
      <w:start w:val="1"/>
      <w:numFmt w:val="lowerRoman"/>
      <w:lvlText w:val="%9"/>
      <w:lvlJc w:val="left"/>
      <w:pPr>
        <w:ind w:left="78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18DD166E"/>
    <w:multiLevelType w:val="hybridMultilevel"/>
    <w:tmpl w:val="BB02B2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9CA064A"/>
    <w:multiLevelType w:val="hybridMultilevel"/>
    <w:tmpl w:val="020CE8E6"/>
    <w:lvl w:ilvl="0" w:tplc="4009001B">
      <w:start w:val="1"/>
      <w:numFmt w:val="lowerRoman"/>
      <w:lvlText w:val="%1."/>
      <w:lvlJc w:val="right"/>
      <w:pPr>
        <w:ind w:left="720" w:hanging="360"/>
      </w:pPr>
      <w:rPr>
        <w:rFonts w:hint="default"/>
      </w:rPr>
    </w:lvl>
    <w:lvl w:ilvl="1" w:tplc="4822BEE6">
      <w:start w:val="1"/>
      <w:numFmt w:val="lowerLetter"/>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1BAB196B"/>
    <w:multiLevelType w:val="hybridMultilevel"/>
    <w:tmpl w:val="C82008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C122341"/>
    <w:multiLevelType w:val="hybridMultilevel"/>
    <w:tmpl w:val="45F053A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E851064"/>
    <w:multiLevelType w:val="hybridMultilevel"/>
    <w:tmpl w:val="F1B8C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1F76236F"/>
    <w:multiLevelType w:val="hybridMultilevel"/>
    <w:tmpl w:val="3C1C758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0FB0572"/>
    <w:multiLevelType w:val="hybridMultilevel"/>
    <w:tmpl w:val="3EA49A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2A3016E"/>
    <w:multiLevelType w:val="hybridMultilevel"/>
    <w:tmpl w:val="161473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2C8799C"/>
    <w:multiLevelType w:val="hybridMultilevel"/>
    <w:tmpl w:val="4C52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3900BA3"/>
    <w:multiLevelType w:val="hybridMultilevel"/>
    <w:tmpl w:val="58E82B56"/>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4B9161E"/>
    <w:multiLevelType w:val="hybridMultilevel"/>
    <w:tmpl w:val="82FEE4C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52C4A5F"/>
    <w:multiLevelType w:val="hybridMultilevel"/>
    <w:tmpl w:val="B9D4980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89B7101"/>
    <w:multiLevelType w:val="hybridMultilevel"/>
    <w:tmpl w:val="28965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94874FE"/>
    <w:multiLevelType w:val="hybridMultilevel"/>
    <w:tmpl w:val="2D4AEF0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2A234D2C"/>
    <w:multiLevelType w:val="hybridMultilevel"/>
    <w:tmpl w:val="C18EDB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B046C64"/>
    <w:multiLevelType w:val="hybridMultilevel"/>
    <w:tmpl w:val="0CAEE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2C3C3BBA"/>
    <w:multiLevelType w:val="hybridMultilevel"/>
    <w:tmpl w:val="22B292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D8927AE"/>
    <w:multiLevelType w:val="hybridMultilevel"/>
    <w:tmpl w:val="FA4E36D6"/>
    <w:lvl w:ilvl="0" w:tplc="11EAA388">
      <w:start w:val="2"/>
      <w:numFmt w:val="decimal"/>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2B1056DA">
      <w:start w:val="1"/>
      <w:numFmt w:val="lowerRoman"/>
      <w:lvlText w:val="(%2)"/>
      <w:lvlJc w:val="left"/>
      <w:pPr>
        <w:ind w:left="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1DE1DDC">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5CC4050">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B1E1C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88AEA3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C5CB31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A40B1A8">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D52BD98">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5" w15:restartNumberingAfterBreak="0">
    <w:nsid w:val="2E22115B"/>
    <w:multiLevelType w:val="hybridMultilevel"/>
    <w:tmpl w:val="06E288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EE65A26"/>
    <w:multiLevelType w:val="hybridMultilevel"/>
    <w:tmpl w:val="4ADC279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F910F78"/>
    <w:multiLevelType w:val="hybridMultilevel"/>
    <w:tmpl w:val="653C42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FD70228"/>
    <w:multiLevelType w:val="hybridMultilevel"/>
    <w:tmpl w:val="AB5C9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2FF929D0"/>
    <w:multiLevelType w:val="hybridMultilevel"/>
    <w:tmpl w:val="7272DB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0415C7E"/>
    <w:multiLevelType w:val="hybridMultilevel"/>
    <w:tmpl w:val="1362F1AA"/>
    <w:lvl w:ilvl="0" w:tplc="A6DCB8F8">
      <w:start w:val="2"/>
      <w:numFmt w:val="decimal"/>
      <w:lvlText w:val="(%1)"/>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6841366">
      <w:start w:val="1"/>
      <w:numFmt w:val="lowerRoman"/>
      <w:lvlText w:val="(%2)"/>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048E30">
      <w:start w:val="1"/>
      <w:numFmt w:val="lowerRoman"/>
      <w:lvlText w:val="(%3)"/>
      <w:lvlJc w:val="left"/>
      <w:pPr>
        <w:ind w:left="264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4082690">
      <w:start w:val="1"/>
      <w:numFmt w:val="decimal"/>
      <w:lvlText w:val="%4"/>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1344972">
      <w:start w:val="1"/>
      <w:numFmt w:val="lowerLetter"/>
      <w:lvlText w:val="%5"/>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0988EB8">
      <w:start w:val="1"/>
      <w:numFmt w:val="lowerRoman"/>
      <w:lvlText w:val="%6"/>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11C15E6">
      <w:start w:val="1"/>
      <w:numFmt w:val="decimal"/>
      <w:lvlText w:val="%7"/>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D12B6D8">
      <w:start w:val="1"/>
      <w:numFmt w:val="lowerLetter"/>
      <w:lvlText w:val="%8"/>
      <w:lvlJc w:val="left"/>
      <w:pPr>
        <w:ind w:left="7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834FEBA">
      <w:start w:val="1"/>
      <w:numFmt w:val="lowerRoman"/>
      <w:lvlText w:val="%9"/>
      <w:lvlJc w:val="left"/>
      <w:pPr>
        <w:ind w:left="7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1" w15:restartNumberingAfterBreak="0">
    <w:nsid w:val="30991248"/>
    <w:multiLevelType w:val="hybridMultilevel"/>
    <w:tmpl w:val="FA729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122128A"/>
    <w:multiLevelType w:val="hybridMultilevel"/>
    <w:tmpl w:val="CF7C428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16665CD"/>
    <w:multiLevelType w:val="hybridMultilevel"/>
    <w:tmpl w:val="CCFC6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33755649"/>
    <w:multiLevelType w:val="hybridMultilevel"/>
    <w:tmpl w:val="FB26640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33B90F05"/>
    <w:multiLevelType w:val="hybridMultilevel"/>
    <w:tmpl w:val="A902401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40D1DB6"/>
    <w:multiLevelType w:val="hybridMultilevel"/>
    <w:tmpl w:val="14A09E22"/>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3491525A"/>
    <w:multiLevelType w:val="hybridMultilevel"/>
    <w:tmpl w:val="2FF42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34B83785"/>
    <w:multiLevelType w:val="hybridMultilevel"/>
    <w:tmpl w:val="53788A2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4C51A88"/>
    <w:multiLevelType w:val="hybridMultilevel"/>
    <w:tmpl w:val="1E74BBFA"/>
    <w:lvl w:ilvl="0" w:tplc="E6AAA6AE">
      <w:start w:val="6"/>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0CE4D318">
      <w:start w:val="1"/>
      <w:numFmt w:val="lowerRoman"/>
      <w:lvlText w:val="(%2)"/>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00A981E">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088FCE2">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430F4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BFA458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4AE842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708FE8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E0843F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0" w15:restartNumberingAfterBreak="0">
    <w:nsid w:val="362A1CB0"/>
    <w:multiLevelType w:val="hybridMultilevel"/>
    <w:tmpl w:val="87DC8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375D291F"/>
    <w:multiLevelType w:val="hybridMultilevel"/>
    <w:tmpl w:val="AF6C36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384C72C8"/>
    <w:multiLevelType w:val="hybridMultilevel"/>
    <w:tmpl w:val="4184BF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39F0708D"/>
    <w:multiLevelType w:val="hybridMultilevel"/>
    <w:tmpl w:val="32F67CF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3A660FB6"/>
    <w:multiLevelType w:val="hybridMultilevel"/>
    <w:tmpl w:val="F3BE741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3C107C83"/>
    <w:multiLevelType w:val="hybridMultilevel"/>
    <w:tmpl w:val="0F129C4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DCE43BA"/>
    <w:multiLevelType w:val="hybridMultilevel"/>
    <w:tmpl w:val="DF28B9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EB30D92"/>
    <w:multiLevelType w:val="hybridMultilevel"/>
    <w:tmpl w:val="B0DC81F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EFF0AF0"/>
    <w:multiLevelType w:val="hybridMultilevel"/>
    <w:tmpl w:val="92042F7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417E382C"/>
    <w:multiLevelType w:val="hybridMultilevel"/>
    <w:tmpl w:val="7FF677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41FE66F5"/>
    <w:multiLevelType w:val="hybridMultilevel"/>
    <w:tmpl w:val="1F50C9D8"/>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2D65A5C"/>
    <w:multiLevelType w:val="hybridMultilevel"/>
    <w:tmpl w:val="A32ECB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430E3742"/>
    <w:multiLevelType w:val="hybridMultilevel"/>
    <w:tmpl w:val="2432D4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3C10E76"/>
    <w:multiLevelType w:val="hybridMultilevel"/>
    <w:tmpl w:val="00BC71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46102479"/>
    <w:multiLevelType w:val="hybridMultilevel"/>
    <w:tmpl w:val="E3C6A1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48523135"/>
    <w:multiLevelType w:val="hybridMultilevel"/>
    <w:tmpl w:val="1C8C6D5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B1B7E6D"/>
    <w:multiLevelType w:val="hybridMultilevel"/>
    <w:tmpl w:val="CABC0F4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4D5908B0"/>
    <w:multiLevelType w:val="hybridMultilevel"/>
    <w:tmpl w:val="F2AEAC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DAC0DAE"/>
    <w:multiLevelType w:val="hybridMultilevel"/>
    <w:tmpl w:val="05C0E30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4E391A87"/>
    <w:multiLevelType w:val="hybridMultilevel"/>
    <w:tmpl w:val="A0C42486"/>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4E8D3D76"/>
    <w:multiLevelType w:val="hybridMultilevel"/>
    <w:tmpl w:val="0B806FFA"/>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532E4CB2"/>
    <w:multiLevelType w:val="hybridMultilevel"/>
    <w:tmpl w:val="3C82B4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545C20CE"/>
    <w:multiLevelType w:val="hybridMultilevel"/>
    <w:tmpl w:val="85A0B66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6F24620"/>
    <w:multiLevelType w:val="hybridMultilevel"/>
    <w:tmpl w:val="FCBE9E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57CB55AC"/>
    <w:multiLevelType w:val="hybridMultilevel"/>
    <w:tmpl w:val="024A2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58EC1D34"/>
    <w:multiLevelType w:val="hybridMultilevel"/>
    <w:tmpl w:val="276EF35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5B3007E7"/>
    <w:multiLevelType w:val="hybridMultilevel"/>
    <w:tmpl w:val="8DE046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5B3C5F8B"/>
    <w:multiLevelType w:val="hybridMultilevel"/>
    <w:tmpl w:val="5434BE4E"/>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5C2F3734"/>
    <w:multiLevelType w:val="hybridMultilevel"/>
    <w:tmpl w:val="EC02905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5C4F7A3C"/>
    <w:multiLevelType w:val="hybridMultilevel"/>
    <w:tmpl w:val="60AC2B80"/>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5CF32150"/>
    <w:multiLevelType w:val="hybridMultilevel"/>
    <w:tmpl w:val="702014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5CF7334A"/>
    <w:multiLevelType w:val="hybridMultilevel"/>
    <w:tmpl w:val="A86838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5D5E258E"/>
    <w:multiLevelType w:val="hybridMultilevel"/>
    <w:tmpl w:val="0748BBAA"/>
    <w:lvl w:ilvl="0" w:tplc="09AEC376">
      <w:start w:val="1"/>
      <w:numFmt w:val="lowerRoman"/>
      <w:lvlText w:val="(%1)"/>
      <w:lvlJc w:val="left"/>
      <w:pPr>
        <w:ind w:left="19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C7E903A">
      <w:start w:val="1"/>
      <w:numFmt w:val="lowerLetter"/>
      <w:lvlText w:val="%2"/>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9680C8">
      <w:start w:val="1"/>
      <w:numFmt w:val="lowerRoman"/>
      <w:lvlText w:val="%3"/>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3124B6C">
      <w:start w:val="1"/>
      <w:numFmt w:val="decimal"/>
      <w:lvlText w:val="%4"/>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1B81108">
      <w:start w:val="1"/>
      <w:numFmt w:val="lowerLetter"/>
      <w:lvlText w:val="%5"/>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9F075A2">
      <w:start w:val="1"/>
      <w:numFmt w:val="lowerRoman"/>
      <w:lvlText w:val="%6"/>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D202140">
      <w:start w:val="1"/>
      <w:numFmt w:val="decimal"/>
      <w:lvlText w:val="%7"/>
      <w:lvlJc w:val="left"/>
      <w:pPr>
        <w:ind w:left="68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E38E662">
      <w:start w:val="1"/>
      <w:numFmt w:val="lowerLetter"/>
      <w:lvlText w:val="%8"/>
      <w:lvlJc w:val="left"/>
      <w:pPr>
        <w:ind w:left="75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E06D3C8">
      <w:start w:val="1"/>
      <w:numFmt w:val="lowerRoman"/>
      <w:lvlText w:val="%9"/>
      <w:lvlJc w:val="left"/>
      <w:pPr>
        <w:ind w:left="8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3" w15:restartNumberingAfterBreak="0">
    <w:nsid w:val="5D8201B0"/>
    <w:multiLevelType w:val="hybridMultilevel"/>
    <w:tmpl w:val="C66EF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5E760D42"/>
    <w:multiLevelType w:val="hybridMultilevel"/>
    <w:tmpl w:val="97FC2C0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5EA0618E"/>
    <w:multiLevelType w:val="hybridMultilevel"/>
    <w:tmpl w:val="931401E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5F6742E2"/>
    <w:multiLevelType w:val="hybridMultilevel"/>
    <w:tmpl w:val="E72AD5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61327D06"/>
    <w:multiLevelType w:val="hybridMultilevel"/>
    <w:tmpl w:val="2714A2C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62C913B7"/>
    <w:multiLevelType w:val="hybridMultilevel"/>
    <w:tmpl w:val="17684FD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62CA283C"/>
    <w:multiLevelType w:val="hybridMultilevel"/>
    <w:tmpl w:val="90D027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634641EA"/>
    <w:multiLevelType w:val="hybridMultilevel"/>
    <w:tmpl w:val="05201B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63EE7ADD"/>
    <w:multiLevelType w:val="hybridMultilevel"/>
    <w:tmpl w:val="8F3C6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648340BC"/>
    <w:multiLevelType w:val="hybridMultilevel"/>
    <w:tmpl w:val="56AA50C8"/>
    <w:lvl w:ilvl="0" w:tplc="83501842">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EA00018">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2F0FF92">
      <w:start w:val="1"/>
      <w:numFmt w:val="lowerLetter"/>
      <w:lvlRestart w:val="0"/>
      <w:lvlText w:val="(%3)"/>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9842782">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F72806A">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A56A540">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1728272">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1BCFC46">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8E0E846">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03" w15:restartNumberingAfterBreak="0">
    <w:nsid w:val="64E5046D"/>
    <w:multiLevelType w:val="hybridMultilevel"/>
    <w:tmpl w:val="F67EFC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652B6576"/>
    <w:multiLevelType w:val="hybridMultilevel"/>
    <w:tmpl w:val="7E783E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658451D9"/>
    <w:multiLevelType w:val="hybridMultilevel"/>
    <w:tmpl w:val="71624D8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687D5305"/>
    <w:multiLevelType w:val="hybridMultilevel"/>
    <w:tmpl w:val="77161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68BC4FED"/>
    <w:multiLevelType w:val="hybridMultilevel"/>
    <w:tmpl w:val="078CE07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6B461985"/>
    <w:multiLevelType w:val="hybridMultilevel"/>
    <w:tmpl w:val="946A3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6B4E6267"/>
    <w:multiLevelType w:val="hybridMultilevel"/>
    <w:tmpl w:val="9BACC6AA"/>
    <w:lvl w:ilvl="0" w:tplc="EEB085F6">
      <w:start w:val="4"/>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F140F72">
      <w:start w:val="1"/>
      <w:numFmt w:val="lowerLetter"/>
      <w:lvlText w:val="%2"/>
      <w:lvlJc w:val="left"/>
      <w:pPr>
        <w:ind w:left="2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8B4D360">
      <w:start w:val="1"/>
      <w:numFmt w:val="lowerRoman"/>
      <w:lvlText w:val="%3"/>
      <w:lvlJc w:val="left"/>
      <w:pPr>
        <w:ind w:left="30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CEA87AC">
      <w:start w:val="1"/>
      <w:numFmt w:val="decimal"/>
      <w:lvlText w:val="%4"/>
      <w:lvlJc w:val="left"/>
      <w:pPr>
        <w:ind w:left="3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7627C84">
      <w:start w:val="1"/>
      <w:numFmt w:val="lowerLetter"/>
      <w:lvlText w:val="%5"/>
      <w:lvlJc w:val="left"/>
      <w:pPr>
        <w:ind w:left="44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17EF6C4">
      <w:start w:val="1"/>
      <w:numFmt w:val="lowerRoman"/>
      <w:lvlText w:val="%6"/>
      <w:lvlJc w:val="left"/>
      <w:pPr>
        <w:ind w:left="5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3E8240A">
      <w:start w:val="1"/>
      <w:numFmt w:val="decimal"/>
      <w:lvlText w:val="%7"/>
      <w:lvlJc w:val="left"/>
      <w:pPr>
        <w:ind w:left="5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C7C0BAC">
      <w:start w:val="1"/>
      <w:numFmt w:val="lowerLetter"/>
      <w:lvlText w:val="%8"/>
      <w:lvlJc w:val="left"/>
      <w:pPr>
        <w:ind w:left="6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1089B8A">
      <w:start w:val="1"/>
      <w:numFmt w:val="lowerRoman"/>
      <w:lvlText w:val="%9"/>
      <w:lvlJc w:val="left"/>
      <w:pPr>
        <w:ind w:left="7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10" w15:restartNumberingAfterBreak="0">
    <w:nsid w:val="6B805778"/>
    <w:multiLevelType w:val="hybridMultilevel"/>
    <w:tmpl w:val="BE2E9E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6C7178BA"/>
    <w:multiLevelType w:val="hybridMultilevel"/>
    <w:tmpl w:val="A0929264"/>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6C9D1886"/>
    <w:multiLevelType w:val="hybridMultilevel"/>
    <w:tmpl w:val="E8523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6E661A1F"/>
    <w:multiLevelType w:val="hybridMultilevel"/>
    <w:tmpl w:val="9CE6A54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70430B31"/>
    <w:multiLevelType w:val="hybridMultilevel"/>
    <w:tmpl w:val="01D6E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71174889"/>
    <w:multiLevelType w:val="hybridMultilevel"/>
    <w:tmpl w:val="D2EC27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72D10648"/>
    <w:multiLevelType w:val="hybridMultilevel"/>
    <w:tmpl w:val="76C608E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733341B8"/>
    <w:multiLevelType w:val="hybridMultilevel"/>
    <w:tmpl w:val="BFB290A4"/>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15:restartNumberingAfterBreak="0">
    <w:nsid w:val="75946F79"/>
    <w:multiLevelType w:val="hybridMultilevel"/>
    <w:tmpl w:val="6ABAFE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77BF1EF1"/>
    <w:multiLevelType w:val="hybridMultilevel"/>
    <w:tmpl w:val="8C66B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79DD5CAB"/>
    <w:multiLevelType w:val="hybridMultilevel"/>
    <w:tmpl w:val="ABE4CA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7A5C63AC"/>
    <w:multiLevelType w:val="hybridMultilevel"/>
    <w:tmpl w:val="4FCCB60C"/>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7BD61DD3"/>
    <w:multiLevelType w:val="hybridMultilevel"/>
    <w:tmpl w:val="9C72609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7D5574F4"/>
    <w:multiLevelType w:val="hybridMultilevel"/>
    <w:tmpl w:val="2D00A20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7E1F3B3C"/>
    <w:multiLevelType w:val="hybridMultilevel"/>
    <w:tmpl w:val="5B9E487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7EF9695E"/>
    <w:multiLevelType w:val="hybridMultilevel"/>
    <w:tmpl w:val="F66C2D9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7F0A7FE8"/>
    <w:multiLevelType w:val="hybridMultilevel"/>
    <w:tmpl w:val="757A6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15:restartNumberingAfterBreak="0">
    <w:nsid w:val="7F5379BB"/>
    <w:multiLevelType w:val="hybridMultilevel"/>
    <w:tmpl w:val="98A6B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8"/>
  </w:num>
  <w:num w:numId="2">
    <w:abstractNumId w:val="76"/>
  </w:num>
  <w:num w:numId="3">
    <w:abstractNumId w:val="12"/>
  </w:num>
  <w:num w:numId="4">
    <w:abstractNumId w:val="88"/>
  </w:num>
  <w:num w:numId="5">
    <w:abstractNumId w:val="32"/>
  </w:num>
  <w:num w:numId="6">
    <w:abstractNumId w:val="6"/>
  </w:num>
  <w:num w:numId="7">
    <w:abstractNumId w:val="28"/>
  </w:num>
  <w:num w:numId="8">
    <w:abstractNumId w:val="83"/>
  </w:num>
  <w:num w:numId="9">
    <w:abstractNumId w:val="41"/>
  </w:num>
  <w:num w:numId="10">
    <w:abstractNumId w:val="78"/>
  </w:num>
  <w:num w:numId="11">
    <w:abstractNumId w:val="99"/>
  </w:num>
  <w:num w:numId="12">
    <w:abstractNumId w:val="66"/>
  </w:num>
  <w:num w:numId="13">
    <w:abstractNumId w:val="14"/>
  </w:num>
  <w:num w:numId="14">
    <w:abstractNumId w:val="121"/>
  </w:num>
  <w:num w:numId="15">
    <w:abstractNumId w:val="25"/>
  </w:num>
  <w:num w:numId="16">
    <w:abstractNumId w:val="79"/>
  </w:num>
  <w:num w:numId="17">
    <w:abstractNumId w:val="89"/>
  </w:num>
  <w:num w:numId="18">
    <w:abstractNumId w:val="70"/>
  </w:num>
  <w:num w:numId="19">
    <w:abstractNumId w:val="7"/>
  </w:num>
  <w:num w:numId="20">
    <w:abstractNumId w:val="123"/>
  </w:num>
  <w:num w:numId="21">
    <w:abstractNumId w:val="55"/>
  </w:num>
  <w:num w:numId="22">
    <w:abstractNumId w:val="46"/>
  </w:num>
  <w:num w:numId="23">
    <w:abstractNumId w:val="30"/>
  </w:num>
  <w:num w:numId="24">
    <w:abstractNumId w:val="2"/>
  </w:num>
  <w:num w:numId="25">
    <w:abstractNumId w:val="4"/>
  </w:num>
  <w:num w:numId="26">
    <w:abstractNumId w:val="96"/>
  </w:num>
  <w:num w:numId="27">
    <w:abstractNumId w:val="36"/>
  </w:num>
  <w:num w:numId="28">
    <w:abstractNumId w:val="71"/>
  </w:num>
  <w:num w:numId="29">
    <w:abstractNumId w:val="47"/>
  </w:num>
  <w:num w:numId="30">
    <w:abstractNumId w:val="115"/>
  </w:num>
  <w:num w:numId="31">
    <w:abstractNumId w:val="82"/>
  </w:num>
  <w:num w:numId="32">
    <w:abstractNumId w:val="61"/>
  </w:num>
  <w:num w:numId="33">
    <w:abstractNumId w:val="38"/>
  </w:num>
  <w:num w:numId="34">
    <w:abstractNumId w:val="52"/>
  </w:num>
  <w:num w:numId="35">
    <w:abstractNumId w:val="72"/>
  </w:num>
  <w:num w:numId="36">
    <w:abstractNumId w:val="120"/>
  </w:num>
  <w:num w:numId="37">
    <w:abstractNumId w:val="98"/>
  </w:num>
  <w:num w:numId="38">
    <w:abstractNumId w:val="37"/>
  </w:num>
  <w:num w:numId="39">
    <w:abstractNumId w:val="127"/>
  </w:num>
  <w:num w:numId="40">
    <w:abstractNumId w:val="45"/>
  </w:num>
  <w:num w:numId="41">
    <w:abstractNumId w:val="95"/>
  </w:num>
  <w:num w:numId="42">
    <w:abstractNumId w:val="43"/>
  </w:num>
  <w:num w:numId="43">
    <w:abstractNumId w:val="124"/>
  </w:num>
  <w:num w:numId="44">
    <w:abstractNumId w:val="104"/>
  </w:num>
  <w:num w:numId="45">
    <w:abstractNumId w:val="15"/>
  </w:num>
  <w:num w:numId="46">
    <w:abstractNumId w:val="20"/>
  </w:num>
  <w:num w:numId="47">
    <w:abstractNumId w:val="91"/>
  </w:num>
  <w:num w:numId="48">
    <w:abstractNumId w:val="111"/>
  </w:num>
  <w:num w:numId="49">
    <w:abstractNumId w:val="122"/>
  </w:num>
  <w:num w:numId="50">
    <w:abstractNumId w:val="10"/>
  </w:num>
  <w:num w:numId="51">
    <w:abstractNumId w:val="64"/>
  </w:num>
  <w:num w:numId="52">
    <w:abstractNumId w:val="67"/>
  </w:num>
  <w:num w:numId="53">
    <w:abstractNumId w:val="57"/>
  </w:num>
  <w:num w:numId="54">
    <w:abstractNumId w:val="125"/>
  </w:num>
  <w:num w:numId="55">
    <w:abstractNumId w:val="86"/>
  </w:num>
  <w:num w:numId="56">
    <w:abstractNumId w:val="93"/>
  </w:num>
  <w:num w:numId="57">
    <w:abstractNumId w:val="84"/>
  </w:num>
  <w:num w:numId="58">
    <w:abstractNumId w:val="53"/>
  </w:num>
  <w:num w:numId="59">
    <w:abstractNumId w:val="112"/>
  </w:num>
  <w:num w:numId="60">
    <w:abstractNumId w:val="18"/>
  </w:num>
  <w:num w:numId="61">
    <w:abstractNumId w:val="119"/>
  </w:num>
  <w:num w:numId="62">
    <w:abstractNumId w:val="106"/>
  </w:num>
  <w:num w:numId="63">
    <w:abstractNumId w:val="108"/>
  </w:num>
  <w:num w:numId="64">
    <w:abstractNumId w:val="126"/>
  </w:num>
  <w:num w:numId="65">
    <w:abstractNumId w:val="60"/>
  </w:num>
  <w:num w:numId="66">
    <w:abstractNumId w:val="114"/>
  </w:num>
  <w:num w:numId="67">
    <w:abstractNumId w:val="31"/>
  </w:num>
  <w:num w:numId="68">
    <w:abstractNumId w:val="42"/>
  </w:num>
  <w:num w:numId="69">
    <w:abstractNumId w:val="62"/>
  </w:num>
  <w:num w:numId="70">
    <w:abstractNumId w:val="21"/>
  </w:num>
  <w:num w:numId="71">
    <w:abstractNumId w:val="100"/>
  </w:num>
  <w:num w:numId="72">
    <w:abstractNumId w:val="23"/>
  </w:num>
  <w:num w:numId="73">
    <w:abstractNumId w:val="11"/>
  </w:num>
  <w:num w:numId="74">
    <w:abstractNumId w:val="51"/>
  </w:num>
  <w:num w:numId="75">
    <w:abstractNumId w:val="0"/>
  </w:num>
  <w:num w:numId="76">
    <w:abstractNumId w:val="39"/>
  </w:num>
  <w:num w:numId="77">
    <w:abstractNumId w:val="34"/>
  </w:num>
  <w:num w:numId="78">
    <w:abstractNumId w:val="33"/>
  </w:num>
  <w:num w:numId="79">
    <w:abstractNumId w:val="110"/>
  </w:num>
  <w:num w:numId="80">
    <w:abstractNumId w:val="27"/>
  </w:num>
  <w:num w:numId="81">
    <w:abstractNumId w:val="22"/>
  </w:num>
  <w:num w:numId="82">
    <w:abstractNumId w:val="118"/>
  </w:num>
  <w:num w:numId="83">
    <w:abstractNumId w:val="90"/>
  </w:num>
  <w:num w:numId="84">
    <w:abstractNumId w:val="101"/>
  </w:num>
  <w:num w:numId="85">
    <w:abstractNumId w:val="35"/>
  </w:num>
  <w:num w:numId="86">
    <w:abstractNumId w:val="49"/>
  </w:num>
  <w:num w:numId="87">
    <w:abstractNumId w:val="73"/>
  </w:num>
  <w:num w:numId="88">
    <w:abstractNumId w:val="69"/>
  </w:num>
  <w:num w:numId="89">
    <w:abstractNumId w:val="16"/>
  </w:num>
  <w:num w:numId="90">
    <w:abstractNumId w:val="77"/>
  </w:num>
  <w:num w:numId="91">
    <w:abstractNumId w:val="74"/>
  </w:num>
  <w:num w:numId="92">
    <w:abstractNumId w:val="8"/>
  </w:num>
  <w:num w:numId="93">
    <w:abstractNumId w:val="81"/>
  </w:num>
  <w:num w:numId="94">
    <w:abstractNumId w:val="9"/>
  </w:num>
  <w:num w:numId="95">
    <w:abstractNumId w:val="105"/>
  </w:num>
  <w:num w:numId="96">
    <w:abstractNumId w:val="58"/>
  </w:num>
  <w:num w:numId="97">
    <w:abstractNumId w:val="17"/>
  </w:num>
  <w:num w:numId="98">
    <w:abstractNumId w:val="68"/>
  </w:num>
  <w:num w:numId="99">
    <w:abstractNumId w:val="116"/>
  </w:num>
  <w:num w:numId="100">
    <w:abstractNumId w:val="5"/>
  </w:num>
  <w:num w:numId="101">
    <w:abstractNumId w:val="1"/>
  </w:num>
  <w:num w:numId="102">
    <w:abstractNumId w:val="107"/>
  </w:num>
  <w:num w:numId="103">
    <w:abstractNumId w:val="80"/>
  </w:num>
  <w:num w:numId="104">
    <w:abstractNumId w:val="29"/>
  </w:num>
  <w:num w:numId="105">
    <w:abstractNumId w:val="65"/>
  </w:num>
  <w:num w:numId="106">
    <w:abstractNumId w:val="54"/>
  </w:num>
  <w:num w:numId="107">
    <w:abstractNumId w:val="40"/>
  </w:num>
  <w:num w:numId="108">
    <w:abstractNumId w:val="97"/>
  </w:num>
  <w:num w:numId="109">
    <w:abstractNumId w:val="103"/>
  </w:num>
  <w:num w:numId="110">
    <w:abstractNumId w:val="113"/>
  </w:num>
  <w:num w:numId="111">
    <w:abstractNumId w:val="94"/>
  </w:num>
  <w:num w:numId="112">
    <w:abstractNumId w:val="19"/>
  </w:num>
  <w:num w:numId="113">
    <w:abstractNumId w:val="117"/>
  </w:num>
  <w:num w:numId="114">
    <w:abstractNumId w:val="13"/>
  </w:num>
  <w:num w:numId="115">
    <w:abstractNumId w:val="75"/>
  </w:num>
  <w:num w:numId="116">
    <w:abstractNumId w:val="56"/>
  </w:num>
  <w:num w:numId="117">
    <w:abstractNumId w:val="87"/>
  </w:num>
  <w:num w:numId="118">
    <w:abstractNumId w:val="63"/>
  </w:num>
  <w:num w:numId="119">
    <w:abstractNumId w:val="24"/>
  </w:num>
  <w:num w:numId="120">
    <w:abstractNumId w:val="85"/>
  </w:num>
  <w:num w:numId="121">
    <w:abstractNumId w:val="59"/>
  </w:num>
  <w:num w:numId="122">
    <w:abstractNumId w:val="102"/>
  </w:num>
  <w:num w:numId="123">
    <w:abstractNumId w:val="50"/>
  </w:num>
  <w:num w:numId="124">
    <w:abstractNumId w:val="92"/>
  </w:num>
  <w:num w:numId="125">
    <w:abstractNumId w:val="26"/>
  </w:num>
  <w:num w:numId="126">
    <w:abstractNumId w:val="44"/>
  </w:num>
  <w:num w:numId="127">
    <w:abstractNumId w:val="3"/>
  </w:num>
  <w:num w:numId="128">
    <w:abstractNumId w:val="10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F7"/>
    <w:rsid w:val="00017322"/>
    <w:rsid w:val="00027B70"/>
    <w:rsid w:val="00037042"/>
    <w:rsid w:val="00064158"/>
    <w:rsid w:val="000B3F63"/>
    <w:rsid w:val="000B5970"/>
    <w:rsid w:val="000C5651"/>
    <w:rsid w:val="000E38B1"/>
    <w:rsid w:val="001128C2"/>
    <w:rsid w:val="001150FE"/>
    <w:rsid w:val="00154274"/>
    <w:rsid w:val="001939A2"/>
    <w:rsid w:val="001A0D55"/>
    <w:rsid w:val="001A7667"/>
    <w:rsid w:val="001B13D4"/>
    <w:rsid w:val="001C66A9"/>
    <w:rsid w:val="001C66C4"/>
    <w:rsid w:val="001E4BCE"/>
    <w:rsid w:val="002321B6"/>
    <w:rsid w:val="00245F0D"/>
    <w:rsid w:val="00257BAE"/>
    <w:rsid w:val="002749A9"/>
    <w:rsid w:val="0031109D"/>
    <w:rsid w:val="00314531"/>
    <w:rsid w:val="00317E1B"/>
    <w:rsid w:val="003405AC"/>
    <w:rsid w:val="00345B73"/>
    <w:rsid w:val="00352E06"/>
    <w:rsid w:val="00362839"/>
    <w:rsid w:val="00374F45"/>
    <w:rsid w:val="003B251E"/>
    <w:rsid w:val="003E4425"/>
    <w:rsid w:val="00410AB0"/>
    <w:rsid w:val="00413694"/>
    <w:rsid w:val="00497228"/>
    <w:rsid w:val="004A1131"/>
    <w:rsid w:val="004B7FFD"/>
    <w:rsid w:val="004E6570"/>
    <w:rsid w:val="004F09B3"/>
    <w:rsid w:val="005A7BE6"/>
    <w:rsid w:val="005C1CFE"/>
    <w:rsid w:val="00604774"/>
    <w:rsid w:val="00605FDB"/>
    <w:rsid w:val="00624A58"/>
    <w:rsid w:val="00640832"/>
    <w:rsid w:val="00651F60"/>
    <w:rsid w:val="006647F7"/>
    <w:rsid w:val="006746FD"/>
    <w:rsid w:val="0069410D"/>
    <w:rsid w:val="006D67FC"/>
    <w:rsid w:val="006E6305"/>
    <w:rsid w:val="006F5A25"/>
    <w:rsid w:val="007326EC"/>
    <w:rsid w:val="00733313"/>
    <w:rsid w:val="00737627"/>
    <w:rsid w:val="00747B3B"/>
    <w:rsid w:val="00752ACF"/>
    <w:rsid w:val="00757DB4"/>
    <w:rsid w:val="00771547"/>
    <w:rsid w:val="00790380"/>
    <w:rsid w:val="00797144"/>
    <w:rsid w:val="007C36A5"/>
    <w:rsid w:val="007D4FDB"/>
    <w:rsid w:val="0083281D"/>
    <w:rsid w:val="00875F3D"/>
    <w:rsid w:val="00905269"/>
    <w:rsid w:val="00927EDA"/>
    <w:rsid w:val="00947436"/>
    <w:rsid w:val="009506F9"/>
    <w:rsid w:val="0097787A"/>
    <w:rsid w:val="00987974"/>
    <w:rsid w:val="00987DE6"/>
    <w:rsid w:val="00994155"/>
    <w:rsid w:val="00A32783"/>
    <w:rsid w:val="00A348AB"/>
    <w:rsid w:val="00A47A10"/>
    <w:rsid w:val="00A71804"/>
    <w:rsid w:val="00AB4350"/>
    <w:rsid w:val="00AE3D54"/>
    <w:rsid w:val="00AF0FE3"/>
    <w:rsid w:val="00AF7560"/>
    <w:rsid w:val="00B00626"/>
    <w:rsid w:val="00B06E1E"/>
    <w:rsid w:val="00B22425"/>
    <w:rsid w:val="00B42AEA"/>
    <w:rsid w:val="00B52927"/>
    <w:rsid w:val="00B70A82"/>
    <w:rsid w:val="00BB1DCF"/>
    <w:rsid w:val="00C14D5C"/>
    <w:rsid w:val="00C21AF3"/>
    <w:rsid w:val="00C24FC1"/>
    <w:rsid w:val="00C47163"/>
    <w:rsid w:val="00C6006B"/>
    <w:rsid w:val="00C66772"/>
    <w:rsid w:val="00C75F62"/>
    <w:rsid w:val="00C81BCE"/>
    <w:rsid w:val="00C902C8"/>
    <w:rsid w:val="00CB30A5"/>
    <w:rsid w:val="00CD54AB"/>
    <w:rsid w:val="00CE4A18"/>
    <w:rsid w:val="00CE6B88"/>
    <w:rsid w:val="00CF4314"/>
    <w:rsid w:val="00D03985"/>
    <w:rsid w:val="00D06AAE"/>
    <w:rsid w:val="00D21A92"/>
    <w:rsid w:val="00D3792E"/>
    <w:rsid w:val="00D51445"/>
    <w:rsid w:val="00D95DCF"/>
    <w:rsid w:val="00DA6972"/>
    <w:rsid w:val="00DC217E"/>
    <w:rsid w:val="00DE530D"/>
    <w:rsid w:val="00E02DF0"/>
    <w:rsid w:val="00E112B6"/>
    <w:rsid w:val="00E27528"/>
    <w:rsid w:val="00E34CC3"/>
    <w:rsid w:val="00E927A9"/>
    <w:rsid w:val="00EB409B"/>
    <w:rsid w:val="00EF002A"/>
    <w:rsid w:val="00F27324"/>
    <w:rsid w:val="00F67602"/>
    <w:rsid w:val="00F77130"/>
    <w:rsid w:val="00F7726A"/>
    <w:rsid w:val="00F8315F"/>
    <w:rsid w:val="00F86F78"/>
    <w:rsid w:val="00FB3C9F"/>
    <w:rsid w:val="00FE10ED"/>
    <w:rsid w:val="00FF6A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B7E5"/>
  <w15:chartTrackingRefBased/>
  <w15:docId w15:val="{11FBCC7C-73D0-4044-BD28-DB36A681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40832"/>
    <w:pPr>
      <w:keepNext/>
      <w:keepLines/>
      <w:spacing w:after="0"/>
      <w:ind w:left="917" w:hanging="10"/>
      <w:jc w:val="center"/>
      <w:outlineLvl w:val="0"/>
    </w:pPr>
    <w:rPr>
      <w:rFonts w:ascii="Times New Roman" w:eastAsia="Times New Roman" w:hAnsi="Times New Roman" w:cs="Times New Roman"/>
      <w:color w:val="181717"/>
      <w:sz w:val="24"/>
      <w:lang w:eastAsia="en-IN"/>
    </w:rPr>
  </w:style>
  <w:style w:type="paragraph" w:styleId="Heading2">
    <w:name w:val="heading 2"/>
    <w:next w:val="Normal"/>
    <w:link w:val="Heading2Char"/>
    <w:uiPriority w:val="9"/>
    <w:unhideWhenUsed/>
    <w:qFormat/>
    <w:rsid w:val="00640832"/>
    <w:pPr>
      <w:keepNext/>
      <w:keepLines/>
      <w:spacing w:after="0"/>
      <w:ind w:left="1205" w:hanging="10"/>
      <w:jc w:val="right"/>
      <w:outlineLvl w:val="1"/>
    </w:pPr>
    <w:rPr>
      <w:rFonts w:ascii="Times New Roman" w:eastAsia="Times New Roman" w:hAnsi="Times New Roman" w:cs="Times New Roman"/>
      <w:color w:val="181717"/>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7F7"/>
    <w:pPr>
      <w:ind w:left="720"/>
      <w:contextualSpacing/>
    </w:pPr>
  </w:style>
  <w:style w:type="paragraph" w:customStyle="1" w:styleId="head">
    <w:name w:val="head"/>
    <w:basedOn w:val="Normal"/>
    <w:rsid w:val="00AE3D5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651F6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064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158"/>
  </w:style>
  <w:style w:type="paragraph" w:styleId="Footer">
    <w:name w:val="footer"/>
    <w:basedOn w:val="Normal"/>
    <w:link w:val="FooterChar"/>
    <w:uiPriority w:val="99"/>
    <w:unhideWhenUsed/>
    <w:rsid w:val="00064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158"/>
  </w:style>
  <w:style w:type="character" w:styleId="Hyperlink">
    <w:name w:val="Hyperlink"/>
    <w:basedOn w:val="DefaultParagraphFont"/>
    <w:uiPriority w:val="99"/>
    <w:unhideWhenUsed/>
    <w:rsid w:val="00AF7560"/>
    <w:rPr>
      <w:color w:val="0000FF"/>
      <w:u w:val="single"/>
    </w:rPr>
  </w:style>
  <w:style w:type="paragraph" w:styleId="BalloonText">
    <w:name w:val="Balloon Text"/>
    <w:basedOn w:val="Normal"/>
    <w:link w:val="BalloonTextChar"/>
    <w:uiPriority w:val="99"/>
    <w:semiHidden/>
    <w:unhideWhenUsed/>
    <w:rsid w:val="00413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94"/>
    <w:rPr>
      <w:rFonts w:ascii="Segoe UI" w:hAnsi="Segoe UI" w:cs="Segoe UI"/>
      <w:sz w:val="18"/>
      <w:szCs w:val="18"/>
    </w:rPr>
  </w:style>
  <w:style w:type="character" w:styleId="UnresolvedMention">
    <w:name w:val="Unresolved Mention"/>
    <w:basedOn w:val="DefaultParagraphFont"/>
    <w:uiPriority w:val="99"/>
    <w:semiHidden/>
    <w:unhideWhenUsed/>
    <w:rsid w:val="00314531"/>
    <w:rPr>
      <w:color w:val="605E5C"/>
      <w:shd w:val="clear" w:color="auto" w:fill="E1DFDD"/>
    </w:rPr>
  </w:style>
  <w:style w:type="table" w:styleId="TableGrid">
    <w:name w:val="Table Grid"/>
    <w:basedOn w:val="TableNormal"/>
    <w:uiPriority w:val="39"/>
    <w:rsid w:val="0099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40832"/>
    <w:rPr>
      <w:rFonts w:ascii="Times New Roman" w:eastAsia="Times New Roman" w:hAnsi="Times New Roman" w:cs="Times New Roman"/>
      <w:color w:val="181717"/>
      <w:sz w:val="24"/>
      <w:lang w:eastAsia="en-IN"/>
    </w:rPr>
  </w:style>
  <w:style w:type="character" w:customStyle="1" w:styleId="Heading2Char">
    <w:name w:val="Heading 2 Char"/>
    <w:basedOn w:val="DefaultParagraphFont"/>
    <w:link w:val="Heading2"/>
    <w:uiPriority w:val="9"/>
    <w:rsid w:val="00640832"/>
    <w:rPr>
      <w:rFonts w:ascii="Times New Roman" w:eastAsia="Times New Roman" w:hAnsi="Times New Roman" w:cs="Times New Roman"/>
      <w:color w:val="181717"/>
      <w:sz w:val="20"/>
      <w:lang w:eastAsia="en-IN"/>
    </w:rPr>
  </w:style>
  <w:style w:type="character" w:styleId="CommentReference">
    <w:name w:val="annotation reference"/>
    <w:basedOn w:val="DefaultParagraphFont"/>
    <w:uiPriority w:val="99"/>
    <w:semiHidden/>
    <w:unhideWhenUsed/>
    <w:rsid w:val="00C24FC1"/>
    <w:rPr>
      <w:sz w:val="16"/>
      <w:szCs w:val="16"/>
    </w:rPr>
  </w:style>
  <w:style w:type="paragraph" w:styleId="CommentText">
    <w:name w:val="annotation text"/>
    <w:basedOn w:val="Normal"/>
    <w:link w:val="CommentTextChar"/>
    <w:uiPriority w:val="99"/>
    <w:semiHidden/>
    <w:unhideWhenUsed/>
    <w:rsid w:val="00C24FC1"/>
    <w:pPr>
      <w:spacing w:line="240" w:lineRule="auto"/>
    </w:pPr>
    <w:rPr>
      <w:sz w:val="20"/>
      <w:szCs w:val="20"/>
    </w:rPr>
  </w:style>
  <w:style w:type="character" w:customStyle="1" w:styleId="CommentTextChar">
    <w:name w:val="Comment Text Char"/>
    <w:basedOn w:val="DefaultParagraphFont"/>
    <w:link w:val="CommentText"/>
    <w:uiPriority w:val="99"/>
    <w:semiHidden/>
    <w:rsid w:val="00C24FC1"/>
    <w:rPr>
      <w:sz w:val="20"/>
      <w:szCs w:val="20"/>
    </w:rPr>
  </w:style>
  <w:style w:type="paragraph" w:styleId="CommentSubject">
    <w:name w:val="annotation subject"/>
    <w:basedOn w:val="CommentText"/>
    <w:next w:val="CommentText"/>
    <w:link w:val="CommentSubjectChar"/>
    <w:uiPriority w:val="99"/>
    <w:semiHidden/>
    <w:unhideWhenUsed/>
    <w:rsid w:val="00C24FC1"/>
    <w:rPr>
      <w:b/>
      <w:bCs/>
    </w:rPr>
  </w:style>
  <w:style w:type="character" w:customStyle="1" w:styleId="CommentSubjectChar">
    <w:name w:val="Comment Subject Char"/>
    <w:basedOn w:val="CommentTextChar"/>
    <w:link w:val="CommentSubject"/>
    <w:uiPriority w:val="99"/>
    <w:semiHidden/>
    <w:rsid w:val="00C24FC1"/>
    <w:rPr>
      <w:b/>
      <w:bCs/>
      <w:sz w:val="20"/>
      <w:szCs w:val="20"/>
    </w:rPr>
  </w:style>
  <w:style w:type="table" w:customStyle="1" w:styleId="TableGrid0">
    <w:name w:val="TableGrid"/>
    <w:rsid w:val="00605FDB"/>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9604">
      <w:bodyDiv w:val="1"/>
      <w:marLeft w:val="0"/>
      <w:marRight w:val="0"/>
      <w:marTop w:val="0"/>
      <w:marBottom w:val="0"/>
      <w:divBdr>
        <w:top w:val="none" w:sz="0" w:space="0" w:color="auto"/>
        <w:left w:val="none" w:sz="0" w:space="0" w:color="auto"/>
        <w:bottom w:val="none" w:sz="0" w:space="0" w:color="auto"/>
        <w:right w:val="none" w:sz="0" w:space="0" w:color="auto"/>
      </w:divBdr>
    </w:div>
    <w:div w:id="61761036">
      <w:bodyDiv w:val="1"/>
      <w:marLeft w:val="0"/>
      <w:marRight w:val="0"/>
      <w:marTop w:val="0"/>
      <w:marBottom w:val="0"/>
      <w:divBdr>
        <w:top w:val="none" w:sz="0" w:space="0" w:color="auto"/>
        <w:left w:val="none" w:sz="0" w:space="0" w:color="auto"/>
        <w:bottom w:val="none" w:sz="0" w:space="0" w:color="auto"/>
        <w:right w:val="none" w:sz="0" w:space="0" w:color="auto"/>
      </w:divBdr>
    </w:div>
    <w:div w:id="68039969">
      <w:bodyDiv w:val="1"/>
      <w:marLeft w:val="0"/>
      <w:marRight w:val="0"/>
      <w:marTop w:val="0"/>
      <w:marBottom w:val="0"/>
      <w:divBdr>
        <w:top w:val="none" w:sz="0" w:space="0" w:color="auto"/>
        <w:left w:val="none" w:sz="0" w:space="0" w:color="auto"/>
        <w:bottom w:val="none" w:sz="0" w:space="0" w:color="auto"/>
        <w:right w:val="none" w:sz="0" w:space="0" w:color="auto"/>
      </w:divBdr>
    </w:div>
    <w:div w:id="71245497">
      <w:bodyDiv w:val="1"/>
      <w:marLeft w:val="0"/>
      <w:marRight w:val="0"/>
      <w:marTop w:val="0"/>
      <w:marBottom w:val="0"/>
      <w:divBdr>
        <w:top w:val="none" w:sz="0" w:space="0" w:color="auto"/>
        <w:left w:val="none" w:sz="0" w:space="0" w:color="auto"/>
        <w:bottom w:val="none" w:sz="0" w:space="0" w:color="auto"/>
        <w:right w:val="none" w:sz="0" w:space="0" w:color="auto"/>
      </w:divBdr>
    </w:div>
    <w:div w:id="84617922">
      <w:bodyDiv w:val="1"/>
      <w:marLeft w:val="0"/>
      <w:marRight w:val="0"/>
      <w:marTop w:val="0"/>
      <w:marBottom w:val="0"/>
      <w:divBdr>
        <w:top w:val="none" w:sz="0" w:space="0" w:color="auto"/>
        <w:left w:val="none" w:sz="0" w:space="0" w:color="auto"/>
        <w:bottom w:val="none" w:sz="0" w:space="0" w:color="auto"/>
        <w:right w:val="none" w:sz="0" w:space="0" w:color="auto"/>
      </w:divBdr>
    </w:div>
    <w:div w:id="103234368">
      <w:bodyDiv w:val="1"/>
      <w:marLeft w:val="0"/>
      <w:marRight w:val="0"/>
      <w:marTop w:val="0"/>
      <w:marBottom w:val="0"/>
      <w:divBdr>
        <w:top w:val="none" w:sz="0" w:space="0" w:color="auto"/>
        <w:left w:val="none" w:sz="0" w:space="0" w:color="auto"/>
        <w:bottom w:val="none" w:sz="0" w:space="0" w:color="auto"/>
        <w:right w:val="none" w:sz="0" w:space="0" w:color="auto"/>
      </w:divBdr>
    </w:div>
    <w:div w:id="126163243">
      <w:bodyDiv w:val="1"/>
      <w:marLeft w:val="0"/>
      <w:marRight w:val="0"/>
      <w:marTop w:val="0"/>
      <w:marBottom w:val="0"/>
      <w:divBdr>
        <w:top w:val="none" w:sz="0" w:space="0" w:color="auto"/>
        <w:left w:val="none" w:sz="0" w:space="0" w:color="auto"/>
        <w:bottom w:val="none" w:sz="0" w:space="0" w:color="auto"/>
        <w:right w:val="none" w:sz="0" w:space="0" w:color="auto"/>
      </w:divBdr>
    </w:div>
    <w:div w:id="163514550">
      <w:bodyDiv w:val="1"/>
      <w:marLeft w:val="0"/>
      <w:marRight w:val="0"/>
      <w:marTop w:val="0"/>
      <w:marBottom w:val="0"/>
      <w:divBdr>
        <w:top w:val="none" w:sz="0" w:space="0" w:color="auto"/>
        <w:left w:val="none" w:sz="0" w:space="0" w:color="auto"/>
        <w:bottom w:val="none" w:sz="0" w:space="0" w:color="auto"/>
        <w:right w:val="none" w:sz="0" w:space="0" w:color="auto"/>
      </w:divBdr>
    </w:div>
    <w:div w:id="185143015">
      <w:bodyDiv w:val="1"/>
      <w:marLeft w:val="0"/>
      <w:marRight w:val="0"/>
      <w:marTop w:val="0"/>
      <w:marBottom w:val="0"/>
      <w:divBdr>
        <w:top w:val="none" w:sz="0" w:space="0" w:color="auto"/>
        <w:left w:val="none" w:sz="0" w:space="0" w:color="auto"/>
        <w:bottom w:val="none" w:sz="0" w:space="0" w:color="auto"/>
        <w:right w:val="none" w:sz="0" w:space="0" w:color="auto"/>
      </w:divBdr>
    </w:div>
    <w:div w:id="192228954">
      <w:bodyDiv w:val="1"/>
      <w:marLeft w:val="0"/>
      <w:marRight w:val="0"/>
      <w:marTop w:val="0"/>
      <w:marBottom w:val="0"/>
      <w:divBdr>
        <w:top w:val="none" w:sz="0" w:space="0" w:color="auto"/>
        <w:left w:val="none" w:sz="0" w:space="0" w:color="auto"/>
        <w:bottom w:val="none" w:sz="0" w:space="0" w:color="auto"/>
        <w:right w:val="none" w:sz="0" w:space="0" w:color="auto"/>
      </w:divBdr>
    </w:div>
    <w:div w:id="200628142">
      <w:bodyDiv w:val="1"/>
      <w:marLeft w:val="0"/>
      <w:marRight w:val="0"/>
      <w:marTop w:val="0"/>
      <w:marBottom w:val="0"/>
      <w:divBdr>
        <w:top w:val="none" w:sz="0" w:space="0" w:color="auto"/>
        <w:left w:val="none" w:sz="0" w:space="0" w:color="auto"/>
        <w:bottom w:val="none" w:sz="0" w:space="0" w:color="auto"/>
        <w:right w:val="none" w:sz="0" w:space="0" w:color="auto"/>
      </w:divBdr>
    </w:div>
    <w:div w:id="201602184">
      <w:bodyDiv w:val="1"/>
      <w:marLeft w:val="0"/>
      <w:marRight w:val="0"/>
      <w:marTop w:val="0"/>
      <w:marBottom w:val="0"/>
      <w:divBdr>
        <w:top w:val="none" w:sz="0" w:space="0" w:color="auto"/>
        <w:left w:val="none" w:sz="0" w:space="0" w:color="auto"/>
        <w:bottom w:val="none" w:sz="0" w:space="0" w:color="auto"/>
        <w:right w:val="none" w:sz="0" w:space="0" w:color="auto"/>
      </w:divBdr>
    </w:div>
    <w:div w:id="203055573">
      <w:bodyDiv w:val="1"/>
      <w:marLeft w:val="0"/>
      <w:marRight w:val="0"/>
      <w:marTop w:val="0"/>
      <w:marBottom w:val="0"/>
      <w:divBdr>
        <w:top w:val="none" w:sz="0" w:space="0" w:color="auto"/>
        <w:left w:val="none" w:sz="0" w:space="0" w:color="auto"/>
        <w:bottom w:val="none" w:sz="0" w:space="0" w:color="auto"/>
        <w:right w:val="none" w:sz="0" w:space="0" w:color="auto"/>
      </w:divBdr>
    </w:div>
    <w:div w:id="204220457">
      <w:bodyDiv w:val="1"/>
      <w:marLeft w:val="0"/>
      <w:marRight w:val="0"/>
      <w:marTop w:val="0"/>
      <w:marBottom w:val="0"/>
      <w:divBdr>
        <w:top w:val="none" w:sz="0" w:space="0" w:color="auto"/>
        <w:left w:val="none" w:sz="0" w:space="0" w:color="auto"/>
        <w:bottom w:val="none" w:sz="0" w:space="0" w:color="auto"/>
        <w:right w:val="none" w:sz="0" w:space="0" w:color="auto"/>
      </w:divBdr>
    </w:div>
    <w:div w:id="230777700">
      <w:bodyDiv w:val="1"/>
      <w:marLeft w:val="0"/>
      <w:marRight w:val="0"/>
      <w:marTop w:val="0"/>
      <w:marBottom w:val="0"/>
      <w:divBdr>
        <w:top w:val="none" w:sz="0" w:space="0" w:color="auto"/>
        <w:left w:val="none" w:sz="0" w:space="0" w:color="auto"/>
        <w:bottom w:val="none" w:sz="0" w:space="0" w:color="auto"/>
        <w:right w:val="none" w:sz="0" w:space="0" w:color="auto"/>
      </w:divBdr>
    </w:div>
    <w:div w:id="239948468">
      <w:bodyDiv w:val="1"/>
      <w:marLeft w:val="0"/>
      <w:marRight w:val="0"/>
      <w:marTop w:val="0"/>
      <w:marBottom w:val="0"/>
      <w:divBdr>
        <w:top w:val="none" w:sz="0" w:space="0" w:color="auto"/>
        <w:left w:val="none" w:sz="0" w:space="0" w:color="auto"/>
        <w:bottom w:val="none" w:sz="0" w:space="0" w:color="auto"/>
        <w:right w:val="none" w:sz="0" w:space="0" w:color="auto"/>
      </w:divBdr>
    </w:div>
    <w:div w:id="272128842">
      <w:bodyDiv w:val="1"/>
      <w:marLeft w:val="0"/>
      <w:marRight w:val="0"/>
      <w:marTop w:val="0"/>
      <w:marBottom w:val="0"/>
      <w:divBdr>
        <w:top w:val="none" w:sz="0" w:space="0" w:color="auto"/>
        <w:left w:val="none" w:sz="0" w:space="0" w:color="auto"/>
        <w:bottom w:val="none" w:sz="0" w:space="0" w:color="auto"/>
        <w:right w:val="none" w:sz="0" w:space="0" w:color="auto"/>
      </w:divBdr>
    </w:div>
    <w:div w:id="293146012">
      <w:bodyDiv w:val="1"/>
      <w:marLeft w:val="0"/>
      <w:marRight w:val="0"/>
      <w:marTop w:val="0"/>
      <w:marBottom w:val="0"/>
      <w:divBdr>
        <w:top w:val="none" w:sz="0" w:space="0" w:color="auto"/>
        <w:left w:val="none" w:sz="0" w:space="0" w:color="auto"/>
        <w:bottom w:val="none" w:sz="0" w:space="0" w:color="auto"/>
        <w:right w:val="none" w:sz="0" w:space="0" w:color="auto"/>
      </w:divBdr>
    </w:div>
    <w:div w:id="295306000">
      <w:bodyDiv w:val="1"/>
      <w:marLeft w:val="0"/>
      <w:marRight w:val="0"/>
      <w:marTop w:val="0"/>
      <w:marBottom w:val="0"/>
      <w:divBdr>
        <w:top w:val="none" w:sz="0" w:space="0" w:color="auto"/>
        <w:left w:val="none" w:sz="0" w:space="0" w:color="auto"/>
        <w:bottom w:val="none" w:sz="0" w:space="0" w:color="auto"/>
        <w:right w:val="none" w:sz="0" w:space="0" w:color="auto"/>
      </w:divBdr>
    </w:div>
    <w:div w:id="345979924">
      <w:bodyDiv w:val="1"/>
      <w:marLeft w:val="0"/>
      <w:marRight w:val="0"/>
      <w:marTop w:val="0"/>
      <w:marBottom w:val="0"/>
      <w:divBdr>
        <w:top w:val="none" w:sz="0" w:space="0" w:color="auto"/>
        <w:left w:val="none" w:sz="0" w:space="0" w:color="auto"/>
        <w:bottom w:val="none" w:sz="0" w:space="0" w:color="auto"/>
        <w:right w:val="none" w:sz="0" w:space="0" w:color="auto"/>
      </w:divBdr>
    </w:div>
    <w:div w:id="349912014">
      <w:bodyDiv w:val="1"/>
      <w:marLeft w:val="0"/>
      <w:marRight w:val="0"/>
      <w:marTop w:val="0"/>
      <w:marBottom w:val="0"/>
      <w:divBdr>
        <w:top w:val="none" w:sz="0" w:space="0" w:color="auto"/>
        <w:left w:val="none" w:sz="0" w:space="0" w:color="auto"/>
        <w:bottom w:val="none" w:sz="0" w:space="0" w:color="auto"/>
        <w:right w:val="none" w:sz="0" w:space="0" w:color="auto"/>
      </w:divBdr>
    </w:div>
    <w:div w:id="361785949">
      <w:bodyDiv w:val="1"/>
      <w:marLeft w:val="0"/>
      <w:marRight w:val="0"/>
      <w:marTop w:val="0"/>
      <w:marBottom w:val="0"/>
      <w:divBdr>
        <w:top w:val="none" w:sz="0" w:space="0" w:color="auto"/>
        <w:left w:val="none" w:sz="0" w:space="0" w:color="auto"/>
        <w:bottom w:val="none" w:sz="0" w:space="0" w:color="auto"/>
        <w:right w:val="none" w:sz="0" w:space="0" w:color="auto"/>
      </w:divBdr>
    </w:div>
    <w:div w:id="365526921">
      <w:bodyDiv w:val="1"/>
      <w:marLeft w:val="0"/>
      <w:marRight w:val="0"/>
      <w:marTop w:val="0"/>
      <w:marBottom w:val="0"/>
      <w:divBdr>
        <w:top w:val="none" w:sz="0" w:space="0" w:color="auto"/>
        <w:left w:val="none" w:sz="0" w:space="0" w:color="auto"/>
        <w:bottom w:val="none" w:sz="0" w:space="0" w:color="auto"/>
        <w:right w:val="none" w:sz="0" w:space="0" w:color="auto"/>
      </w:divBdr>
    </w:div>
    <w:div w:id="410468967">
      <w:bodyDiv w:val="1"/>
      <w:marLeft w:val="0"/>
      <w:marRight w:val="0"/>
      <w:marTop w:val="0"/>
      <w:marBottom w:val="0"/>
      <w:divBdr>
        <w:top w:val="none" w:sz="0" w:space="0" w:color="auto"/>
        <w:left w:val="none" w:sz="0" w:space="0" w:color="auto"/>
        <w:bottom w:val="none" w:sz="0" w:space="0" w:color="auto"/>
        <w:right w:val="none" w:sz="0" w:space="0" w:color="auto"/>
      </w:divBdr>
    </w:div>
    <w:div w:id="450632737">
      <w:bodyDiv w:val="1"/>
      <w:marLeft w:val="0"/>
      <w:marRight w:val="0"/>
      <w:marTop w:val="0"/>
      <w:marBottom w:val="0"/>
      <w:divBdr>
        <w:top w:val="none" w:sz="0" w:space="0" w:color="auto"/>
        <w:left w:val="none" w:sz="0" w:space="0" w:color="auto"/>
        <w:bottom w:val="none" w:sz="0" w:space="0" w:color="auto"/>
        <w:right w:val="none" w:sz="0" w:space="0" w:color="auto"/>
      </w:divBdr>
    </w:div>
    <w:div w:id="451290501">
      <w:bodyDiv w:val="1"/>
      <w:marLeft w:val="0"/>
      <w:marRight w:val="0"/>
      <w:marTop w:val="0"/>
      <w:marBottom w:val="0"/>
      <w:divBdr>
        <w:top w:val="none" w:sz="0" w:space="0" w:color="auto"/>
        <w:left w:val="none" w:sz="0" w:space="0" w:color="auto"/>
        <w:bottom w:val="none" w:sz="0" w:space="0" w:color="auto"/>
        <w:right w:val="none" w:sz="0" w:space="0" w:color="auto"/>
      </w:divBdr>
    </w:div>
    <w:div w:id="495657690">
      <w:bodyDiv w:val="1"/>
      <w:marLeft w:val="0"/>
      <w:marRight w:val="0"/>
      <w:marTop w:val="0"/>
      <w:marBottom w:val="0"/>
      <w:divBdr>
        <w:top w:val="none" w:sz="0" w:space="0" w:color="auto"/>
        <w:left w:val="none" w:sz="0" w:space="0" w:color="auto"/>
        <w:bottom w:val="none" w:sz="0" w:space="0" w:color="auto"/>
        <w:right w:val="none" w:sz="0" w:space="0" w:color="auto"/>
      </w:divBdr>
    </w:div>
    <w:div w:id="513081572">
      <w:bodyDiv w:val="1"/>
      <w:marLeft w:val="0"/>
      <w:marRight w:val="0"/>
      <w:marTop w:val="0"/>
      <w:marBottom w:val="0"/>
      <w:divBdr>
        <w:top w:val="none" w:sz="0" w:space="0" w:color="auto"/>
        <w:left w:val="none" w:sz="0" w:space="0" w:color="auto"/>
        <w:bottom w:val="none" w:sz="0" w:space="0" w:color="auto"/>
        <w:right w:val="none" w:sz="0" w:space="0" w:color="auto"/>
      </w:divBdr>
    </w:div>
    <w:div w:id="592665222">
      <w:bodyDiv w:val="1"/>
      <w:marLeft w:val="0"/>
      <w:marRight w:val="0"/>
      <w:marTop w:val="0"/>
      <w:marBottom w:val="0"/>
      <w:divBdr>
        <w:top w:val="none" w:sz="0" w:space="0" w:color="auto"/>
        <w:left w:val="none" w:sz="0" w:space="0" w:color="auto"/>
        <w:bottom w:val="none" w:sz="0" w:space="0" w:color="auto"/>
        <w:right w:val="none" w:sz="0" w:space="0" w:color="auto"/>
      </w:divBdr>
    </w:div>
    <w:div w:id="612059459">
      <w:bodyDiv w:val="1"/>
      <w:marLeft w:val="0"/>
      <w:marRight w:val="0"/>
      <w:marTop w:val="0"/>
      <w:marBottom w:val="0"/>
      <w:divBdr>
        <w:top w:val="none" w:sz="0" w:space="0" w:color="auto"/>
        <w:left w:val="none" w:sz="0" w:space="0" w:color="auto"/>
        <w:bottom w:val="none" w:sz="0" w:space="0" w:color="auto"/>
        <w:right w:val="none" w:sz="0" w:space="0" w:color="auto"/>
      </w:divBdr>
    </w:div>
    <w:div w:id="624459434">
      <w:bodyDiv w:val="1"/>
      <w:marLeft w:val="0"/>
      <w:marRight w:val="0"/>
      <w:marTop w:val="0"/>
      <w:marBottom w:val="0"/>
      <w:divBdr>
        <w:top w:val="none" w:sz="0" w:space="0" w:color="auto"/>
        <w:left w:val="none" w:sz="0" w:space="0" w:color="auto"/>
        <w:bottom w:val="none" w:sz="0" w:space="0" w:color="auto"/>
        <w:right w:val="none" w:sz="0" w:space="0" w:color="auto"/>
      </w:divBdr>
    </w:div>
    <w:div w:id="631524319">
      <w:bodyDiv w:val="1"/>
      <w:marLeft w:val="0"/>
      <w:marRight w:val="0"/>
      <w:marTop w:val="0"/>
      <w:marBottom w:val="0"/>
      <w:divBdr>
        <w:top w:val="none" w:sz="0" w:space="0" w:color="auto"/>
        <w:left w:val="none" w:sz="0" w:space="0" w:color="auto"/>
        <w:bottom w:val="none" w:sz="0" w:space="0" w:color="auto"/>
        <w:right w:val="none" w:sz="0" w:space="0" w:color="auto"/>
      </w:divBdr>
    </w:div>
    <w:div w:id="649557934">
      <w:bodyDiv w:val="1"/>
      <w:marLeft w:val="0"/>
      <w:marRight w:val="0"/>
      <w:marTop w:val="0"/>
      <w:marBottom w:val="0"/>
      <w:divBdr>
        <w:top w:val="none" w:sz="0" w:space="0" w:color="auto"/>
        <w:left w:val="none" w:sz="0" w:space="0" w:color="auto"/>
        <w:bottom w:val="none" w:sz="0" w:space="0" w:color="auto"/>
        <w:right w:val="none" w:sz="0" w:space="0" w:color="auto"/>
      </w:divBdr>
    </w:div>
    <w:div w:id="685638225">
      <w:bodyDiv w:val="1"/>
      <w:marLeft w:val="0"/>
      <w:marRight w:val="0"/>
      <w:marTop w:val="0"/>
      <w:marBottom w:val="0"/>
      <w:divBdr>
        <w:top w:val="none" w:sz="0" w:space="0" w:color="auto"/>
        <w:left w:val="none" w:sz="0" w:space="0" w:color="auto"/>
        <w:bottom w:val="none" w:sz="0" w:space="0" w:color="auto"/>
        <w:right w:val="none" w:sz="0" w:space="0" w:color="auto"/>
      </w:divBdr>
    </w:div>
    <w:div w:id="693658067">
      <w:bodyDiv w:val="1"/>
      <w:marLeft w:val="0"/>
      <w:marRight w:val="0"/>
      <w:marTop w:val="0"/>
      <w:marBottom w:val="0"/>
      <w:divBdr>
        <w:top w:val="none" w:sz="0" w:space="0" w:color="auto"/>
        <w:left w:val="none" w:sz="0" w:space="0" w:color="auto"/>
        <w:bottom w:val="none" w:sz="0" w:space="0" w:color="auto"/>
        <w:right w:val="none" w:sz="0" w:space="0" w:color="auto"/>
      </w:divBdr>
    </w:div>
    <w:div w:id="697698589">
      <w:bodyDiv w:val="1"/>
      <w:marLeft w:val="0"/>
      <w:marRight w:val="0"/>
      <w:marTop w:val="0"/>
      <w:marBottom w:val="0"/>
      <w:divBdr>
        <w:top w:val="none" w:sz="0" w:space="0" w:color="auto"/>
        <w:left w:val="none" w:sz="0" w:space="0" w:color="auto"/>
        <w:bottom w:val="none" w:sz="0" w:space="0" w:color="auto"/>
        <w:right w:val="none" w:sz="0" w:space="0" w:color="auto"/>
      </w:divBdr>
    </w:div>
    <w:div w:id="723718236">
      <w:bodyDiv w:val="1"/>
      <w:marLeft w:val="0"/>
      <w:marRight w:val="0"/>
      <w:marTop w:val="0"/>
      <w:marBottom w:val="0"/>
      <w:divBdr>
        <w:top w:val="none" w:sz="0" w:space="0" w:color="auto"/>
        <w:left w:val="none" w:sz="0" w:space="0" w:color="auto"/>
        <w:bottom w:val="none" w:sz="0" w:space="0" w:color="auto"/>
        <w:right w:val="none" w:sz="0" w:space="0" w:color="auto"/>
      </w:divBdr>
    </w:div>
    <w:div w:id="755054616">
      <w:bodyDiv w:val="1"/>
      <w:marLeft w:val="0"/>
      <w:marRight w:val="0"/>
      <w:marTop w:val="0"/>
      <w:marBottom w:val="0"/>
      <w:divBdr>
        <w:top w:val="none" w:sz="0" w:space="0" w:color="auto"/>
        <w:left w:val="none" w:sz="0" w:space="0" w:color="auto"/>
        <w:bottom w:val="none" w:sz="0" w:space="0" w:color="auto"/>
        <w:right w:val="none" w:sz="0" w:space="0" w:color="auto"/>
      </w:divBdr>
    </w:div>
    <w:div w:id="761608470">
      <w:bodyDiv w:val="1"/>
      <w:marLeft w:val="0"/>
      <w:marRight w:val="0"/>
      <w:marTop w:val="0"/>
      <w:marBottom w:val="0"/>
      <w:divBdr>
        <w:top w:val="none" w:sz="0" w:space="0" w:color="auto"/>
        <w:left w:val="none" w:sz="0" w:space="0" w:color="auto"/>
        <w:bottom w:val="none" w:sz="0" w:space="0" w:color="auto"/>
        <w:right w:val="none" w:sz="0" w:space="0" w:color="auto"/>
      </w:divBdr>
    </w:div>
    <w:div w:id="768813363">
      <w:bodyDiv w:val="1"/>
      <w:marLeft w:val="0"/>
      <w:marRight w:val="0"/>
      <w:marTop w:val="0"/>
      <w:marBottom w:val="0"/>
      <w:divBdr>
        <w:top w:val="none" w:sz="0" w:space="0" w:color="auto"/>
        <w:left w:val="none" w:sz="0" w:space="0" w:color="auto"/>
        <w:bottom w:val="none" w:sz="0" w:space="0" w:color="auto"/>
        <w:right w:val="none" w:sz="0" w:space="0" w:color="auto"/>
      </w:divBdr>
    </w:div>
    <w:div w:id="813791302">
      <w:bodyDiv w:val="1"/>
      <w:marLeft w:val="0"/>
      <w:marRight w:val="0"/>
      <w:marTop w:val="0"/>
      <w:marBottom w:val="0"/>
      <w:divBdr>
        <w:top w:val="none" w:sz="0" w:space="0" w:color="auto"/>
        <w:left w:val="none" w:sz="0" w:space="0" w:color="auto"/>
        <w:bottom w:val="none" w:sz="0" w:space="0" w:color="auto"/>
        <w:right w:val="none" w:sz="0" w:space="0" w:color="auto"/>
      </w:divBdr>
    </w:div>
    <w:div w:id="825783238">
      <w:bodyDiv w:val="1"/>
      <w:marLeft w:val="0"/>
      <w:marRight w:val="0"/>
      <w:marTop w:val="0"/>
      <w:marBottom w:val="0"/>
      <w:divBdr>
        <w:top w:val="none" w:sz="0" w:space="0" w:color="auto"/>
        <w:left w:val="none" w:sz="0" w:space="0" w:color="auto"/>
        <w:bottom w:val="none" w:sz="0" w:space="0" w:color="auto"/>
        <w:right w:val="none" w:sz="0" w:space="0" w:color="auto"/>
      </w:divBdr>
    </w:div>
    <w:div w:id="870846797">
      <w:bodyDiv w:val="1"/>
      <w:marLeft w:val="0"/>
      <w:marRight w:val="0"/>
      <w:marTop w:val="0"/>
      <w:marBottom w:val="0"/>
      <w:divBdr>
        <w:top w:val="none" w:sz="0" w:space="0" w:color="auto"/>
        <w:left w:val="none" w:sz="0" w:space="0" w:color="auto"/>
        <w:bottom w:val="none" w:sz="0" w:space="0" w:color="auto"/>
        <w:right w:val="none" w:sz="0" w:space="0" w:color="auto"/>
      </w:divBdr>
    </w:div>
    <w:div w:id="878125241">
      <w:bodyDiv w:val="1"/>
      <w:marLeft w:val="0"/>
      <w:marRight w:val="0"/>
      <w:marTop w:val="0"/>
      <w:marBottom w:val="0"/>
      <w:divBdr>
        <w:top w:val="none" w:sz="0" w:space="0" w:color="auto"/>
        <w:left w:val="none" w:sz="0" w:space="0" w:color="auto"/>
        <w:bottom w:val="none" w:sz="0" w:space="0" w:color="auto"/>
        <w:right w:val="none" w:sz="0" w:space="0" w:color="auto"/>
      </w:divBdr>
    </w:div>
    <w:div w:id="890269774">
      <w:bodyDiv w:val="1"/>
      <w:marLeft w:val="0"/>
      <w:marRight w:val="0"/>
      <w:marTop w:val="0"/>
      <w:marBottom w:val="0"/>
      <w:divBdr>
        <w:top w:val="none" w:sz="0" w:space="0" w:color="auto"/>
        <w:left w:val="none" w:sz="0" w:space="0" w:color="auto"/>
        <w:bottom w:val="none" w:sz="0" w:space="0" w:color="auto"/>
        <w:right w:val="none" w:sz="0" w:space="0" w:color="auto"/>
      </w:divBdr>
    </w:div>
    <w:div w:id="900680224">
      <w:bodyDiv w:val="1"/>
      <w:marLeft w:val="0"/>
      <w:marRight w:val="0"/>
      <w:marTop w:val="0"/>
      <w:marBottom w:val="0"/>
      <w:divBdr>
        <w:top w:val="none" w:sz="0" w:space="0" w:color="auto"/>
        <w:left w:val="none" w:sz="0" w:space="0" w:color="auto"/>
        <w:bottom w:val="none" w:sz="0" w:space="0" w:color="auto"/>
        <w:right w:val="none" w:sz="0" w:space="0" w:color="auto"/>
      </w:divBdr>
    </w:div>
    <w:div w:id="903177620">
      <w:bodyDiv w:val="1"/>
      <w:marLeft w:val="0"/>
      <w:marRight w:val="0"/>
      <w:marTop w:val="0"/>
      <w:marBottom w:val="0"/>
      <w:divBdr>
        <w:top w:val="none" w:sz="0" w:space="0" w:color="auto"/>
        <w:left w:val="none" w:sz="0" w:space="0" w:color="auto"/>
        <w:bottom w:val="none" w:sz="0" w:space="0" w:color="auto"/>
        <w:right w:val="none" w:sz="0" w:space="0" w:color="auto"/>
      </w:divBdr>
    </w:div>
    <w:div w:id="912469844">
      <w:bodyDiv w:val="1"/>
      <w:marLeft w:val="0"/>
      <w:marRight w:val="0"/>
      <w:marTop w:val="0"/>
      <w:marBottom w:val="0"/>
      <w:divBdr>
        <w:top w:val="none" w:sz="0" w:space="0" w:color="auto"/>
        <w:left w:val="none" w:sz="0" w:space="0" w:color="auto"/>
        <w:bottom w:val="none" w:sz="0" w:space="0" w:color="auto"/>
        <w:right w:val="none" w:sz="0" w:space="0" w:color="auto"/>
      </w:divBdr>
    </w:div>
    <w:div w:id="924919735">
      <w:bodyDiv w:val="1"/>
      <w:marLeft w:val="0"/>
      <w:marRight w:val="0"/>
      <w:marTop w:val="0"/>
      <w:marBottom w:val="0"/>
      <w:divBdr>
        <w:top w:val="none" w:sz="0" w:space="0" w:color="auto"/>
        <w:left w:val="none" w:sz="0" w:space="0" w:color="auto"/>
        <w:bottom w:val="none" w:sz="0" w:space="0" w:color="auto"/>
        <w:right w:val="none" w:sz="0" w:space="0" w:color="auto"/>
      </w:divBdr>
    </w:div>
    <w:div w:id="933585641">
      <w:bodyDiv w:val="1"/>
      <w:marLeft w:val="0"/>
      <w:marRight w:val="0"/>
      <w:marTop w:val="0"/>
      <w:marBottom w:val="0"/>
      <w:divBdr>
        <w:top w:val="none" w:sz="0" w:space="0" w:color="auto"/>
        <w:left w:val="none" w:sz="0" w:space="0" w:color="auto"/>
        <w:bottom w:val="none" w:sz="0" w:space="0" w:color="auto"/>
        <w:right w:val="none" w:sz="0" w:space="0" w:color="auto"/>
      </w:divBdr>
    </w:div>
    <w:div w:id="936712523">
      <w:bodyDiv w:val="1"/>
      <w:marLeft w:val="0"/>
      <w:marRight w:val="0"/>
      <w:marTop w:val="0"/>
      <w:marBottom w:val="0"/>
      <w:divBdr>
        <w:top w:val="none" w:sz="0" w:space="0" w:color="auto"/>
        <w:left w:val="none" w:sz="0" w:space="0" w:color="auto"/>
        <w:bottom w:val="none" w:sz="0" w:space="0" w:color="auto"/>
        <w:right w:val="none" w:sz="0" w:space="0" w:color="auto"/>
      </w:divBdr>
    </w:div>
    <w:div w:id="945431388">
      <w:bodyDiv w:val="1"/>
      <w:marLeft w:val="0"/>
      <w:marRight w:val="0"/>
      <w:marTop w:val="0"/>
      <w:marBottom w:val="0"/>
      <w:divBdr>
        <w:top w:val="none" w:sz="0" w:space="0" w:color="auto"/>
        <w:left w:val="none" w:sz="0" w:space="0" w:color="auto"/>
        <w:bottom w:val="none" w:sz="0" w:space="0" w:color="auto"/>
        <w:right w:val="none" w:sz="0" w:space="0" w:color="auto"/>
      </w:divBdr>
    </w:div>
    <w:div w:id="964116300">
      <w:bodyDiv w:val="1"/>
      <w:marLeft w:val="0"/>
      <w:marRight w:val="0"/>
      <w:marTop w:val="0"/>
      <w:marBottom w:val="0"/>
      <w:divBdr>
        <w:top w:val="none" w:sz="0" w:space="0" w:color="auto"/>
        <w:left w:val="none" w:sz="0" w:space="0" w:color="auto"/>
        <w:bottom w:val="none" w:sz="0" w:space="0" w:color="auto"/>
        <w:right w:val="none" w:sz="0" w:space="0" w:color="auto"/>
      </w:divBdr>
    </w:div>
    <w:div w:id="975330319">
      <w:bodyDiv w:val="1"/>
      <w:marLeft w:val="0"/>
      <w:marRight w:val="0"/>
      <w:marTop w:val="0"/>
      <w:marBottom w:val="0"/>
      <w:divBdr>
        <w:top w:val="none" w:sz="0" w:space="0" w:color="auto"/>
        <w:left w:val="none" w:sz="0" w:space="0" w:color="auto"/>
        <w:bottom w:val="none" w:sz="0" w:space="0" w:color="auto"/>
        <w:right w:val="none" w:sz="0" w:space="0" w:color="auto"/>
      </w:divBdr>
    </w:div>
    <w:div w:id="996225198">
      <w:bodyDiv w:val="1"/>
      <w:marLeft w:val="0"/>
      <w:marRight w:val="0"/>
      <w:marTop w:val="0"/>
      <w:marBottom w:val="0"/>
      <w:divBdr>
        <w:top w:val="none" w:sz="0" w:space="0" w:color="auto"/>
        <w:left w:val="none" w:sz="0" w:space="0" w:color="auto"/>
        <w:bottom w:val="none" w:sz="0" w:space="0" w:color="auto"/>
        <w:right w:val="none" w:sz="0" w:space="0" w:color="auto"/>
      </w:divBdr>
    </w:div>
    <w:div w:id="1028215555">
      <w:bodyDiv w:val="1"/>
      <w:marLeft w:val="0"/>
      <w:marRight w:val="0"/>
      <w:marTop w:val="0"/>
      <w:marBottom w:val="0"/>
      <w:divBdr>
        <w:top w:val="none" w:sz="0" w:space="0" w:color="auto"/>
        <w:left w:val="none" w:sz="0" w:space="0" w:color="auto"/>
        <w:bottom w:val="none" w:sz="0" w:space="0" w:color="auto"/>
        <w:right w:val="none" w:sz="0" w:space="0" w:color="auto"/>
      </w:divBdr>
    </w:div>
    <w:div w:id="1101338531">
      <w:bodyDiv w:val="1"/>
      <w:marLeft w:val="0"/>
      <w:marRight w:val="0"/>
      <w:marTop w:val="0"/>
      <w:marBottom w:val="0"/>
      <w:divBdr>
        <w:top w:val="none" w:sz="0" w:space="0" w:color="auto"/>
        <w:left w:val="none" w:sz="0" w:space="0" w:color="auto"/>
        <w:bottom w:val="none" w:sz="0" w:space="0" w:color="auto"/>
        <w:right w:val="none" w:sz="0" w:space="0" w:color="auto"/>
      </w:divBdr>
    </w:div>
    <w:div w:id="1143543275">
      <w:bodyDiv w:val="1"/>
      <w:marLeft w:val="0"/>
      <w:marRight w:val="0"/>
      <w:marTop w:val="0"/>
      <w:marBottom w:val="0"/>
      <w:divBdr>
        <w:top w:val="none" w:sz="0" w:space="0" w:color="auto"/>
        <w:left w:val="none" w:sz="0" w:space="0" w:color="auto"/>
        <w:bottom w:val="none" w:sz="0" w:space="0" w:color="auto"/>
        <w:right w:val="none" w:sz="0" w:space="0" w:color="auto"/>
      </w:divBdr>
    </w:div>
    <w:div w:id="1144617042">
      <w:bodyDiv w:val="1"/>
      <w:marLeft w:val="0"/>
      <w:marRight w:val="0"/>
      <w:marTop w:val="0"/>
      <w:marBottom w:val="0"/>
      <w:divBdr>
        <w:top w:val="none" w:sz="0" w:space="0" w:color="auto"/>
        <w:left w:val="none" w:sz="0" w:space="0" w:color="auto"/>
        <w:bottom w:val="none" w:sz="0" w:space="0" w:color="auto"/>
        <w:right w:val="none" w:sz="0" w:space="0" w:color="auto"/>
      </w:divBdr>
    </w:div>
    <w:div w:id="1153833405">
      <w:bodyDiv w:val="1"/>
      <w:marLeft w:val="0"/>
      <w:marRight w:val="0"/>
      <w:marTop w:val="0"/>
      <w:marBottom w:val="0"/>
      <w:divBdr>
        <w:top w:val="none" w:sz="0" w:space="0" w:color="auto"/>
        <w:left w:val="none" w:sz="0" w:space="0" w:color="auto"/>
        <w:bottom w:val="none" w:sz="0" w:space="0" w:color="auto"/>
        <w:right w:val="none" w:sz="0" w:space="0" w:color="auto"/>
      </w:divBdr>
    </w:div>
    <w:div w:id="1162045798">
      <w:bodyDiv w:val="1"/>
      <w:marLeft w:val="0"/>
      <w:marRight w:val="0"/>
      <w:marTop w:val="0"/>
      <w:marBottom w:val="0"/>
      <w:divBdr>
        <w:top w:val="none" w:sz="0" w:space="0" w:color="auto"/>
        <w:left w:val="none" w:sz="0" w:space="0" w:color="auto"/>
        <w:bottom w:val="none" w:sz="0" w:space="0" w:color="auto"/>
        <w:right w:val="none" w:sz="0" w:space="0" w:color="auto"/>
      </w:divBdr>
    </w:div>
    <w:div w:id="1219972867">
      <w:bodyDiv w:val="1"/>
      <w:marLeft w:val="0"/>
      <w:marRight w:val="0"/>
      <w:marTop w:val="0"/>
      <w:marBottom w:val="0"/>
      <w:divBdr>
        <w:top w:val="none" w:sz="0" w:space="0" w:color="auto"/>
        <w:left w:val="none" w:sz="0" w:space="0" w:color="auto"/>
        <w:bottom w:val="none" w:sz="0" w:space="0" w:color="auto"/>
        <w:right w:val="none" w:sz="0" w:space="0" w:color="auto"/>
      </w:divBdr>
    </w:div>
    <w:div w:id="1223907075">
      <w:bodyDiv w:val="1"/>
      <w:marLeft w:val="0"/>
      <w:marRight w:val="0"/>
      <w:marTop w:val="0"/>
      <w:marBottom w:val="0"/>
      <w:divBdr>
        <w:top w:val="none" w:sz="0" w:space="0" w:color="auto"/>
        <w:left w:val="none" w:sz="0" w:space="0" w:color="auto"/>
        <w:bottom w:val="none" w:sz="0" w:space="0" w:color="auto"/>
        <w:right w:val="none" w:sz="0" w:space="0" w:color="auto"/>
      </w:divBdr>
    </w:div>
    <w:div w:id="1245603020">
      <w:bodyDiv w:val="1"/>
      <w:marLeft w:val="0"/>
      <w:marRight w:val="0"/>
      <w:marTop w:val="0"/>
      <w:marBottom w:val="0"/>
      <w:divBdr>
        <w:top w:val="none" w:sz="0" w:space="0" w:color="auto"/>
        <w:left w:val="none" w:sz="0" w:space="0" w:color="auto"/>
        <w:bottom w:val="none" w:sz="0" w:space="0" w:color="auto"/>
        <w:right w:val="none" w:sz="0" w:space="0" w:color="auto"/>
      </w:divBdr>
    </w:div>
    <w:div w:id="1300114904">
      <w:bodyDiv w:val="1"/>
      <w:marLeft w:val="0"/>
      <w:marRight w:val="0"/>
      <w:marTop w:val="0"/>
      <w:marBottom w:val="0"/>
      <w:divBdr>
        <w:top w:val="none" w:sz="0" w:space="0" w:color="auto"/>
        <w:left w:val="none" w:sz="0" w:space="0" w:color="auto"/>
        <w:bottom w:val="none" w:sz="0" w:space="0" w:color="auto"/>
        <w:right w:val="none" w:sz="0" w:space="0" w:color="auto"/>
      </w:divBdr>
    </w:div>
    <w:div w:id="1307052784">
      <w:bodyDiv w:val="1"/>
      <w:marLeft w:val="0"/>
      <w:marRight w:val="0"/>
      <w:marTop w:val="0"/>
      <w:marBottom w:val="0"/>
      <w:divBdr>
        <w:top w:val="none" w:sz="0" w:space="0" w:color="auto"/>
        <w:left w:val="none" w:sz="0" w:space="0" w:color="auto"/>
        <w:bottom w:val="none" w:sz="0" w:space="0" w:color="auto"/>
        <w:right w:val="none" w:sz="0" w:space="0" w:color="auto"/>
      </w:divBdr>
    </w:div>
    <w:div w:id="1308053638">
      <w:bodyDiv w:val="1"/>
      <w:marLeft w:val="0"/>
      <w:marRight w:val="0"/>
      <w:marTop w:val="0"/>
      <w:marBottom w:val="0"/>
      <w:divBdr>
        <w:top w:val="none" w:sz="0" w:space="0" w:color="auto"/>
        <w:left w:val="none" w:sz="0" w:space="0" w:color="auto"/>
        <w:bottom w:val="none" w:sz="0" w:space="0" w:color="auto"/>
        <w:right w:val="none" w:sz="0" w:space="0" w:color="auto"/>
      </w:divBdr>
      <w:divsChild>
        <w:div w:id="10418553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326669233">
      <w:bodyDiv w:val="1"/>
      <w:marLeft w:val="0"/>
      <w:marRight w:val="0"/>
      <w:marTop w:val="0"/>
      <w:marBottom w:val="0"/>
      <w:divBdr>
        <w:top w:val="none" w:sz="0" w:space="0" w:color="auto"/>
        <w:left w:val="none" w:sz="0" w:space="0" w:color="auto"/>
        <w:bottom w:val="none" w:sz="0" w:space="0" w:color="auto"/>
        <w:right w:val="none" w:sz="0" w:space="0" w:color="auto"/>
      </w:divBdr>
    </w:div>
    <w:div w:id="1359548164">
      <w:bodyDiv w:val="1"/>
      <w:marLeft w:val="0"/>
      <w:marRight w:val="0"/>
      <w:marTop w:val="0"/>
      <w:marBottom w:val="0"/>
      <w:divBdr>
        <w:top w:val="none" w:sz="0" w:space="0" w:color="auto"/>
        <w:left w:val="none" w:sz="0" w:space="0" w:color="auto"/>
        <w:bottom w:val="none" w:sz="0" w:space="0" w:color="auto"/>
        <w:right w:val="none" w:sz="0" w:space="0" w:color="auto"/>
      </w:divBdr>
    </w:div>
    <w:div w:id="1367756919">
      <w:bodyDiv w:val="1"/>
      <w:marLeft w:val="0"/>
      <w:marRight w:val="0"/>
      <w:marTop w:val="0"/>
      <w:marBottom w:val="0"/>
      <w:divBdr>
        <w:top w:val="none" w:sz="0" w:space="0" w:color="auto"/>
        <w:left w:val="none" w:sz="0" w:space="0" w:color="auto"/>
        <w:bottom w:val="none" w:sz="0" w:space="0" w:color="auto"/>
        <w:right w:val="none" w:sz="0" w:space="0" w:color="auto"/>
      </w:divBdr>
    </w:div>
    <w:div w:id="1390498898">
      <w:bodyDiv w:val="1"/>
      <w:marLeft w:val="0"/>
      <w:marRight w:val="0"/>
      <w:marTop w:val="0"/>
      <w:marBottom w:val="0"/>
      <w:divBdr>
        <w:top w:val="none" w:sz="0" w:space="0" w:color="auto"/>
        <w:left w:val="none" w:sz="0" w:space="0" w:color="auto"/>
        <w:bottom w:val="none" w:sz="0" w:space="0" w:color="auto"/>
        <w:right w:val="none" w:sz="0" w:space="0" w:color="auto"/>
      </w:divBdr>
    </w:div>
    <w:div w:id="1392845099">
      <w:bodyDiv w:val="1"/>
      <w:marLeft w:val="0"/>
      <w:marRight w:val="0"/>
      <w:marTop w:val="0"/>
      <w:marBottom w:val="0"/>
      <w:divBdr>
        <w:top w:val="none" w:sz="0" w:space="0" w:color="auto"/>
        <w:left w:val="none" w:sz="0" w:space="0" w:color="auto"/>
        <w:bottom w:val="none" w:sz="0" w:space="0" w:color="auto"/>
        <w:right w:val="none" w:sz="0" w:space="0" w:color="auto"/>
      </w:divBdr>
    </w:div>
    <w:div w:id="1395930215">
      <w:bodyDiv w:val="1"/>
      <w:marLeft w:val="0"/>
      <w:marRight w:val="0"/>
      <w:marTop w:val="0"/>
      <w:marBottom w:val="0"/>
      <w:divBdr>
        <w:top w:val="none" w:sz="0" w:space="0" w:color="auto"/>
        <w:left w:val="none" w:sz="0" w:space="0" w:color="auto"/>
        <w:bottom w:val="none" w:sz="0" w:space="0" w:color="auto"/>
        <w:right w:val="none" w:sz="0" w:space="0" w:color="auto"/>
      </w:divBdr>
    </w:div>
    <w:div w:id="1428235918">
      <w:bodyDiv w:val="1"/>
      <w:marLeft w:val="0"/>
      <w:marRight w:val="0"/>
      <w:marTop w:val="0"/>
      <w:marBottom w:val="0"/>
      <w:divBdr>
        <w:top w:val="none" w:sz="0" w:space="0" w:color="auto"/>
        <w:left w:val="none" w:sz="0" w:space="0" w:color="auto"/>
        <w:bottom w:val="none" w:sz="0" w:space="0" w:color="auto"/>
        <w:right w:val="none" w:sz="0" w:space="0" w:color="auto"/>
      </w:divBdr>
    </w:div>
    <w:div w:id="1485777725">
      <w:bodyDiv w:val="1"/>
      <w:marLeft w:val="0"/>
      <w:marRight w:val="0"/>
      <w:marTop w:val="0"/>
      <w:marBottom w:val="0"/>
      <w:divBdr>
        <w:top w:val="none" w:sz="0" w:space="0" w:color="auto"/>
        <w:left w:val="none" w:sz="0" w:space="0" w:color="auto"/>
        <w:bottom w:val="none" w:sz="0" w:space="0" w:color="auto"/>
        <w:right w:val="none" w:sz="0" w:space="0" w:color="auto"/>
      </w:divBdr>
    </w:div>
    <w:div w:id="1527792850">
      <w:bodyDiv w:val="1"/>
      <w:marLeft w:val="0"/>
      <w:marRight w:val="0"/>
      <w:marTop w:val="0"/>
      <w:marBottom w:val="0"/>
      <w:divBdr>
        <w:top w:val="none" w:sz="0" w:space="0" w:color="auto"/>
        <w:left w:val="none" w:sz="0" w:space="0" w:color="auto"/>
        <w:bottom w:val="none" w:sz="0" w:space="0" w:color="auto"/>
        <w:right w:val="none" w:sz="0" w:space="0" w:color="auto"/>
      </w:divBdr>
    </w:div>
    <w:div w:id="1614512056">
      <w:bodyDiv w:val="1"/>
      <w:marLeft w:val="0"/>
      <w:marRight w:val="0"/>
      <w:marTop w:val="0"/>
      <w:marBottom w:val="0"/>
      <w:divBdr>
        <w:top w:val="none" w:sz="0" w:space="0" w:color="auto"/>
        <w:left w:val="none" w:sz="0" w:space="0" w:color="auto"/>
        <w:bottom w:val="none" w:sz="0" w:space="0" w:color="auto"/>
        <w:right w:val="none" w:sz="0" w:space="0" w:color="auto"/>
      </w:divBdr>
    </w:div>
    <w:div w:id="1655404686">
      <w:bodyDiv w:val="1"/>
      <w:marLeft w:val="0"/>
      <w:marRight w:val="0"/>
      <w:marTop w:val="0"/>
      <w:marBottom w:val="0"/>
      <w:divBdr>
        <w:top w:val="none" w:sz="0" w:space="0" w:color="auto"/>
        <w:left w:val="none" w:sz="0" w:space="0" w:color="auto"/>
        <w:bottom w:val="none" w:sz="0" w:space="0" w:color="auto"/>
        <w:right w:val="none" w:sz="0" w:space="0" w:color="auto"/>
      </w:divBdr>
    </w:div>
    <w:div w:id="1663389859">
      <w:bodyDiv w:val="1"/>
      <w:marLeft w:val="0"/>
      <w:marRight w:val="0"/>
      <w:marTop w:val="0"/>
      <w:marBottom w:val="0"/>
      <w:divBdr>
        <w:top w:val="none" w:sz="0" w:space="0" w:color="auto"/>
        <w:left w:val="none" w:sz="0" w:space="0" w:color="auto"/>
        <w:bottom w:val="none" w:sz="0" w:space="0" w:color="auto"/>
        <w:right w:val="none" w:sz="0" w:space="0" w:color="auto"/>
      </w:divBdr>
    </w:div>
    <w:div w:id="1693343180">
      <w:bodyDiv w:val="1"/>
      <w:marLeft w:val="0"/>
      <w:marRight w:val="0"/>
      <w:marTop w:val="0"/>
      <w:marBottom w:val="0"/>
      <w:divBdr>
        <w:top w:val="none" w:sz="0" w:space="0" w:color="auto"/>
        <w:left w:val="none" w:sz="0" w:space="0" w:color="auto"/>
        <w:bottom w:val="none" w:sz="0" w:space="0" w:color="auto"/>
        <w:right w:val="none" w:sz="0" w:space="0" w:color="auto"/>
      </w:divBdr>
    </w:div>
    <w:div w:id="1721710466">
      <w:bodyDiv w:val="1"/>
      <w:marLeft w:val="0"/>
      <w:marRight w:val="0"/>
      <w:marTop w:val="0"/>
      <w:marBottom w:val="0"/>
      <w:divBdr>
        <w:top w:val="none" w:sz="0" w:space="0" w:color="auto"/>
        <w:left w:val="none" w:sz="0" w:space="0" w:color="auto"/>
        <w:bottom w:val="none" w:sz="0" w:space="0" w:color="auto"/>
        <w:right w:val="none" w:sz="0" w:space="0" w:color="auto"/>
      </w:divBdr>
    </w:div>
    <w:div w:id="1726760098">
      <w:bodyDiv w:val="1"/>
      <w:marLeft w:val="0"/>
      <w:marRight w:val="0"/>
      <w:marTop w:val="0"/>
      <w:marBottom w:val="0"/>
      <w:divBdr>
        <w:top w:val="none" w:sz="0" w:space="0" w:color="auto"/>
        <w:left w:val="none" w:sz="0" w:space="0" w:color="auto"/>
        <w:bottom w:val="none" w:sz="0" w:space="0" w:color="auto"/>
        <w:right w:val="none" w:sz="0" w:space="0" w:color="auto"/>
      </w:divBdr>
    </w:div>
    <w:div w:id="1731879092">
      <w:bodyDiv w:val="1"/>
      <w:marLeft w:val="0"/>
      <w:marRight w:val="0"/>
      <w:marTop w:val="0"/>
      <w:marBottom w:val="0"/>
      <w:divBdr>
        <w:top w:val="none" w:sz="0" w:space="0" w:color="auto"/>
        <w:left w:val="none" w:sz="0" w:space="0" w:color="auto"/>
        <w:bottom w:val="none" w:sz="0" w:space="0" w:color="auto"/>
        <w:right w:val="none" w:sz="0" w:space="0" w:color="auto"/>
      </w:divBdr>
    </w:div>
    <w:div w:id="1768428102">
      <w:bodyDiv w:val="1"/>
      <w:marLeft w:val="0"/>
      <w:marRight w:val="0"/>
      <w:marTop w:val="0"/>
      <w:marBottom w:val="0"/>
      <w:divBdr>
        <w:top w:val="none" w:sz="0" w:space="0" w:color="auto"/>
        <w:left w:val="none" w:sz="0" w:space="0" w:color="auto"/>
        <w:bottom w:val="none" w:sz="0" w:space="0" w:color="auto"/>
        <w:right w:val="none" w:sz="0" w:space="0" w:color="auto"/>
      </w:divBdr>
    </w:div>
    <w:div w:id="1781561365">
      <w:bodyDiv w:val="1"/>
      <w:marLeft w:val="0"/>
      <w:marRight w:val="0"/>
      <w:marTop w:val="0"/>
      <w:marBottom w:val="0"/>
      <w:divBdr>
        <w:top w:val="none" w:sz="0" w:space="0" w:color="auto"/>
        <w:left w:val="none" w:sz="0" w:space="0" w:color="auto"/>
        <w:bottom w:val="none" w:sz="0" w:space="0" w:color="auto"/>
        <w:right w:val="none" w:sz="0" w:space="0" w:color="auto"/>
      </w:divBdr>
    </w:div>
    <w:div w:id="1792935447">
      <w:bodyDiv w:val="1"/>
      <w:marLeft w:val="0"/>
      <w:marRight w:val="0"/>
      <w:marTop w:val="0"/>
      <w:marBottom w:val="0"/>
      <w:divBdr>
        <w:top w:val="none" w:sz="0" w:space="0" w:color="auto"/>
        <w:left w:val="none" w:sz="0" w:space="0" w:color="auto"/>
        <w:bottom w:val="none" w:sz="0" w:space="0" w:color="auto"/>
        <w:right w:val="none" w:sz="0" w:space="0" w:color="auto"/>
      </w:divBdr>
    </w:div>
    <w:div w:id="1831288257">
      <w:bodyDiv w:val="1"/>
      <w:marLeft w:val="0"/>
      <w:marRight w:val="0"/>
      <w:marTop w:val="0"/>
      <w:marBottom w:val="0"/>
      <w:divBdr>
        <w:top w:val="none" w:sz="0" w:space="0" w:color="auto"/>
        <w:left w:val="none" w:sz="0" w:space="0" w:color="auto"/>
        <w:bottom w:val="none" w:sz="0" w:space="0" w:color="auto"/>
        <w:right w:val="none" w:sz="0" w:space="0" w:color="auto"/>
      </w:divBdr>
    </w:div>
    <w:div w:id="1857621201">
      <w:bodyDiv w:val="1"/>
      <w:marLeft w:val="0"/>
      <w:marRight w:val="0"/>
      <w:marTop w:val="0"/>
      <w:marBottom w:val="0"/>
      <w:divBdr>
        <w:top w:val="none" w:sz="0" w:space="0" w:color="auto"/>
        <w:left w:val="none" w:sz="0" w:space="0" w:color="auto"/>
        <w:bottom w:val="none" w:sz="0" w:space="0" w:color="auto"/>
        <w:right w:val="none" w:sz="0" w:space="0" w:color="auto"/>
      </w:divBdr>
    </w:div>
    <w:div w:id="1878395065">
      <w:bodyDiv w:val="1"/>
      <w:marLeft w:val="0"/>
      <w:marRight w:val="0"/>
      <w:marTop w:val="0"/>
      <w:marBottom w:val="0"/>
      <w:divBdr>
        <w:top w:val="none" w:sz="0" w:space="0" w:color="auto"/>
        <w:left w:val="none" w:sz="0" w:space="0" w:color="auto"/>
        <w:bottom w:val="none" w:sz="0" w:space="0" w:color="auto"/>
        <w:right w:val="none" w:sz="0" w:space="0" w:color="auto"/>
      </w:divBdr>
      <w:divsChild>
        <w:div w:id="5353146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883057998">
      <w:bodyDiv w:val="1"/>
      <w:marLeft w:val="0"/>
      <w:marRight w:val="0"/>
      <w:marTop w:val="0"/>
      <w:marBottom w:val="0"/>
      <w:divBdr>
        <w:top w:val="none" w:sz="0" w:space="0" w:color="auto"/>
        <w:left w:val="none" w:sz="0" w:space="0" w:color="auto"/>
        <w:bottom w:val="none" w:sz="0" w:space="0" w:color="auto"/>
        <w:right w:val="none" w:sz="0" w:space="0" w:color="auto"/>
      </w:divBdr>
    </w:div>
    <w:div w:id="1971091248">
      <w:bodyDiv w:val="1"/>
      <w:marLeft w:val="0"/>
      <w:marRight w:val="0"/>
      <w:marTop w:val="0"/>
      <w:marBottom w:val="0"/>
      <w:divBdr>
        <w:top w:val="none" w:sz="0" w:space="0" w:color="auto"/>
        <w:left w:val="none" w:sz="0" w:space="0" w:color="auto"/>
        <w:bottom w:val="none" w:sz="0" w:space="0" w:color="auto"/>
        <w:right w:val="none" w:sz="0" w:space="0" w:color="auto"/>
      </w:divBdr>
    </w:div>
    <w:div w:id="1975988169">
      <w:bodyDiv w:val="1"/>
      <w:marLeft w:val="0"/>
      <w:marRight w:val="0"/>
      <w:marTop w:val="0"/>
      <w:marBottom w:val="0"/>
      <w:divBdr>
        <w:top w:val="none" w:sz="0" w:space="0" w:color="auto"/>
        <w:left w:val="none" w:sz="0" w:space="0" w:color="auto"/>
        <w:bottom w:val="none" w:sz="0" w:space="0" w:color="auto"/>
        <w:right w:val="none" w:sz="0" w:space="0" w:color="auto"/>
      </w:divBdr>
    </w:div>
    <w:div w:id="1998338709">
      <w:bodyDiv w:val="1"/>
      <w:marLeft w:val="0"/>
      <w:marRight w:val="0"/>
      <w:marTop w:val="0"/>
      <w:marBottom w:val="0"/>
      <w:divBdr>
        <w:top w:val="none" w:sz="0" w:space="0" w:color="auto"/>
        <w:left w:val="none" w:sz="0" w:space="0" w:color="auto"/>
        <w:bottom w:val="none" w:sz="0" w:space="0" w:color="auto"/>
        <w:right w:val="none" w:sz="0" w:space="0" w:color="auto"/>
      </w:divBdr>
    </w:div>
    <w:div w:id="2002387245">
      <w:bodyDiv w:val="1"/>
      <w:marLeft w:val="0"/>
      <w:marRight w:val="0"/>
      <w:marTop w:val="0"/>
      <w:marBottom w:val="0"/>
      <w:divBdr>
        <w:top w:val="none" w:sz="0" w:space="0" w:color="auto"/>
        <w:left w:val="none" w:sz="0" w:space="0" w:color="auto"/>
        <w:bottom w:val="none" w:sz="0" w:space="0" w:color="auto"/>
        <w:right w:val="none" w:sz="0" w:space="0" w:color="auto"/>
      </w:divBdr>
    </w:div>
    <w:div w:id="2006394039">
      <w:bodyDiv w:val="1"/>
      <w:marLeft w:val="0"/>
      <w:marRight w:val="0"/>
      <w:marTop w:val="0"/>
      <w:marBottom w:val="0"/>
      <w:divBdr>
        <w:top w:val="none" w:sz="0" w:space="0" w:color="auto"/>
        <w:left w:val="none" w:sz="0" w:space="0" w:color="auto"/>
        <w:bottom w:val="none" w:sz="0" w:space="0" w:color="auto"/>
        <w:right w:val="none" w:sz="0" w:space="0" w:color="auto"/>
      </w:divBdr>
    </w:div>
    <w:div w:id="2014216034">
      <w:bodyDiv w:val="1"/>
      <w:marLeft w:val="0"/>
      <w:marRight w:val="0"/>
      <w:marTop w:val="0"/>
      <w:marBottom w:val="0"/>
      <w:divBdr>
        <w:top w:val="none" w:sz="0" w:space="0" w:color="auto"/>
        <w:left w:val="none" w:sz="0" w:space="0" w:color="auto"/>
        <w:bottom w:val="none" w:sz="0" w:space="0" w:color="auto"/>
        <w:right w:val="none" w:sz="0" w:space="0" w:color="auto"/>
      </w:divBdr>
    </w:div>
    <w:div w:id="2024549088">
      <w:bodyDiv w:val="1"/>
      <w:marLeft w:val="0"/>
      <w:marRight w:val="0"/>
      <w:marTop w:val="0"/>
      <w:marBottom w:val="0"/>
      <w:divBdr>
        <w:top w:val="none" w:sz="0" w:space="0" w:color="auto"/>
        <w:left w:val="none" w:sz="0" w:space="0" w:color="auto"/>
        <w:bottom w:val="none" w:sz="0" w:space="0" w:color="auto"/>
        <w:right w:val="none" w:sz="0" w:space="0" w:color="auto"/>
      </w:divBdr>
    </w:div>
    <w:div w:id="2044819313">
      <w:bodyDiv w:val="1"/>
      <w:marLeft w:val="0"/>
      <w:marRight w:val="0"/>
      <w:marTop w:val="0"/>
      <w:marBottom w:val="0"/>
      <w:divBdr>
        <w:top w:val="none" w:sz="0" w:space="0" w:color="auto"/>
        <w:left w:val="none" w:sz="0" w:space="0" w:color="auto"/>
        <w:bottom w:val="none" w:sz="0" w:space="0" w:color="auto"/>
        <w:right w:val="none" w:sz="0" w:space="0" w:color="auto"/>
      </w:divBdr>
    </w:div>
    <w:div w:id="2052025214">
      <w:bodyDiv w:val="1"/>
      <w:marLeft w:val="0"/>
      <w:marRight w:val="0"/>
      <w:marTop w:val="0"/>
      <w:marBottom w:val="0"/>
      <w:divBdr>
        <w:top w:val="none" w:sz="0" w:space="0" w:color="auto"/>
        <w:left w:val="none" w:sz="0" w:space="0" w:color="auto"/>
        <w:bottom w:val="none" w:sz="0" w:space="0" w:color="auto"/>
        <w:right w:val="none" w:sz="0" w:space="0" w:color="auto"/>
      </w:divBdr>
    </w:div>
    <w:div w:id="2054501108">
      <w:bodyDiv w:val="1"/>
      <w:marLeft w:val="0"/>
      <w:marRight w:val="0"/>
      <w:marTop w:val="0"/>
      <w:marBottom w:val="0"/>
      <w:divBdr>
        <w:top w:val="none" w:sz="0" w:space="0" w:color="auto"/>
        <w:left w:val="none" w:sz="0" w:space="0" w:color="auto"/>
        <w:bottom w:val="none" w:sz="0" w:space="0" w:color="auto"/>
        <w:right w:val="none" w:sz="0" w:space="0" w:color="auto"/>
      </w:divBdr>
    </w:div>
    <w:div w:id="2071031846">
      <w:bodyDiv w:val="1"/>
      <w:marLeft w:val="0"/>
      <w:marRight w:val="0"/>
      <w:marTop w:val="0"/>
      <w:marBottom w:val="0"/>
      <w:divBdr>
        <w:top w:val="none" w:sz="0" w:space="0" w:color="auto"/>
        <w:left w:val="none" w:sz="0" w:space="0" w:color="auto"/>
        <w:bottom w:val="none" w:sz="0" w:space="0" w:color="auto"/>
        <w:right w:val="none" w:sz="0" w:space="0" w:color="auto"/>
      </w:divBdr>
    </w:div>
    <w:div w:id="2078087881">
      <w:bodyDiv w:val="1"/>
      <w:marLeft w:val="0"/>
      <w:marRight w:val="0"/>
      <w:marTop w:val="0"/>
      <w:marBottom w:val="0"/>
      <w:divBdr>
        <w:top w:val="none" w:sz="0" w:space="0" w:color="auto"/>
        <w:left w:val="none" w:sz="0" w:space="0" w:color="auto"/>
        <w:bottom w:val="none" w:sz="0" w:space="0" w:color="auto"/>
        <w:right w:val="none" w:sz="0" w:space="0" w:color="auto"/>
      </w:divBdr>
    </w:div>
    <w:div w:id="2081245758">
      <w:bodyDiv w:val="1"/>
      <w:marLeft w:val="0"/>
      <w:marRight w:val="0"/>
      <w:marTop w:val="0"/>
      <w:marBottom w:val="0"/>
      <w:divBdr>
        <w:top w:val="none" w:sz="0" w:space="0" w:color="auto"/>
        <w:left w:val="none" w:sz="0" w:space="0" w:color="auto"/>
        <w:bottom w:val="none" w:sz="0" w:space="0" w:color="auto"/>
        <w:right w:val="none" w:sz="0" w:space="0" w:color="auto"/>
      </w:divBdr>
    </w:div>
    <w:div w:id="21159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4</cp:revision>
  <dcterms:created xsi:type="dcterms:W3CDTF">2020-07-01T10:37:00Z</dcterms:created>
  <dcterms:modified xsi:type="dcterms:W3CDTF">2020-07-07T07:03:00Z</dcterms:modified>
</cp:coreProperties>
</file>