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2ECD0" w14:textId="6C4E0E81" w:rsidR="00BC6DE3" w:rsidRPr="00BB783F" w:rsidRDefault="00BC6DE3" w:rsidP="00BB783F">
      <w:pPr>
        <w:jc w:val="center"/>
        <w:rPr>
          <w:b/>
          <w:bCs/>
          <w:sz w:val="28"/>
          <w:szCs w:val="28"/>
          <w:u w:val="single"/>
          <w:lang w:val="en-US"/>
        </w:rPr>
      </w:pPr>
      <w:r w:rsidRPr="00BB783F">
        <w:rPr>
          <w:b/>
          <w:bCs/>
          <w:sz w:val="28"/>
          <w:szCs w:val="28"/>
          <w:u w:val="single"/>
          <w:lang w:val="en-US"/>
        </w:rPr>
        <w:t>CAIIB ELECTIVE – RISK MANAGEMENT</w:t>
      </w:r>
    </w:p>
    <w:p w14:paraId="277698F4" w14:textId="77777777" w:rsidR="00EC3932" w:rsidRPr="00EC3932" w:rsidRDefault="00EC3932" w:rsidP="00EC3932">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eastAsia="Times New Roman" w:cstheme="minorHAnsi"/>
          <w:b/>
          <w:bCs/>
          <w:sz w:val="28"/>
          <w:szCs w:val="28"/>
          <w:lang w:eastAsia="en-IN"/>
        </w:rPr>
      </w:pPr>
      <w:r w:rsidRPr="00EC3932">
        <w:rPr>
          <w:rFonts w:eastAsia="Times New Roman" w:cstheme="minorHAnsi"/>
          <w:b/>
          <w:bCs/>
          <w:sz w:val="28"/>
          <w:szCs w:val="28"/>
          <w:lang w:eastAsia="en-IN"/>
        </w:rPr>
        <w:t>RBI Notifications during the period 1</w:t>
      </w:r>
      <w:r w:rsidRPr="00EC3932">
        <w:rPr>
          <w:rFonts w:eastAsia="Times New Roman" w:cstheme="minorHAnsi"/>
          <w:b/>
          <w:bCs/>
          <w:sz w:val="28"/>
          <w:szCs w:val="28"/>
          <w:vertAlign w:val="superscript"/>
          <w:lang w:eastAsia="en-IN"/>
        </w:rPr>
        <w:t>st</w:t>
      </w:r>
      <w:r w:rsidRPr="00EC3932">
        <w:rPr>
          <w:rFonts w:eastAsia="Times New Roman" w:cstheme="minorHAnsi"/>
          <w:b/>
          <w:bCs/>
          <w:sz w:val="28"/>
          <w:szCs w:val="28"/>
          <w:lang w:eastAsia="en-IN"/>
        </w:rPr>
        <w:t xml:space="preserve"> July 2019 to 31</w:t>
      </w:r>
      <w:r w:rsidRPr="00EC3932">
        <w:rPr>
          <w:rFonts w:eastAsia="Times New Roman" w:cstheme="minorHAnsi"/>
          <w:b/>
          <w:bCs/>
          <w:sz w:val="28"/>
          <w:szCs w:val="28"/>
          <w:vertAlign w:val="superscript"/>
          <w:lang w:eastAsia="en-IN"/>
        </w:rPr>
        <w:t>st</w:t>
      </w:r>
      <w:r w:rsidRPr="00EC3932">
        <w:rPr>
          <w:rFonts w:eastAsia="Times New Roman" w:cstheme="minorHAnsi"/>
          <w:b/>
          <w:bCs/>
          <w:sz w:val="28"/>
          <w:szCs w:val="28"/>
          <w:lang w:eastAsia="en-IN"/>
        </w:rPr>
        <w:t xml:space="preserve"> December 2019</w:t>
      </w:r>
    </w:p>
    <w:p w14:paraId="5A34F6C8" w14:textId="77777777" w:rsidR="00BC6DE3" w:rsidRDefault="00BC6DE3">
      <w:pPr>
        <w:rPr>
          <w:b/>
          <w:bCs/>
          <w:u w:val="single"/>
          <w:lang w:val="en-US"/>
        </w:rPr>
      </w:pPr>
    </w:p>
    <w:p w14:paraId="1CCF4A48" w14:textId="5F572854" w:rsidR="000B5619" w:rsidRPr="006D04CC" w:rsidRDefault="000B5619" w:rsidP="006D04CC">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bookmarkStart w:id="0" w:name="_Hlk40762992"/>
      <w:r w:rsidRPr="006D04CC">
        <w:rPr>
          <w:rFonts w:ascii="Arial" w:eastAsia="Times New Roman" w:hAnsi="Arial" w:cs="Arial"/>
          <w:b/>
          <w:bCs/>
          <w:color w:val="000000"/>
          <w:sz w:val="20"/>
          <w:szCs w:val="20"/>
          <w:lang w:eastAsia="en-IN"/>
        </w:rPr>
        <w:t>RBI/2019-20/12</w:t>
      </w:r>
      <w:r w:rsidR="006D04CC" w:rsidRPr="006D04CC">
        <w:rPr>
          <w:rFonts w:ascii="Arial" w:eastAsia="Times New Roman" w:hAnsi="Arial" w:cs="Arial"/>
          <w:b/>
          <w:bCs/>
          <w:color w:val="000000"/>
          <w:sz w:val="20"/>
          <w:szCs w:val="20"/>
          <w:lang w:eastAsia="en-IN"/>
        </w:rPr>
        <w:t xml:space="preserve"> </w:t>
      </w:r>
      <w:r w:rsidRPr="006D04CC">
        <w:rPr>
          <w:rFonts w:ascii="Arial" w:eastAsia="Times New Roman" w:hAnsi="Arial" w:cs="Arial"/>
          <w:b/>
          <w:bCs/>
          <w:color w:val="000000"/>
          <w:sz w:val="20"/>
          <w:szCs w:val="20"/>
          <w:lang w:eastAsia="en-IN"/>
        </w:rPr>
        <w:t>DBR.BP.BC.No.2/21.04.098/2019-20</w:t>
      </w:r>
      <w:r w:rsidR="006D04CC" w:rsidRPr="006D04CC">
        <w:rPr>
          <w:rFonts w:ascii="Arial" w:eastAsia="Times New Roman" w:hAnsi="Arial" w:cs="Arial"/>
          <w:b/>
          <w:bCs/>
          <w:color w:val="000000"/>
          <w:sz w:val="20"/>
          <w:szCs w:val="20"/>
          <w:lang w:eastAsia="en-IN"/>
        </w:rPr>
        <w:t xml:space="preserve"> </w:t>
      </w:r>
      <w:r w:rsidR="006D04CC" w:rsidRPr="006D04CC">
        <w:rPr>
          <w:rFonts w:ascii="Arial" w:eastAsia="Times New Roman" w:hAnsi="Arial" w:cs="Arial"/>
          <w:b/>
          <w:bCs/>
          <w:color w:val="000000"/>
          <w:sz w:val="20"/>
          <w:szCs w:val="20"/>
          <w:lang w:eastAsia="en-IN"/>
        </w:rPr>
        <w:tab/>
      </w:r>
      <w:r w:rsidR="006D04CC" w:rsidRPr="006D04CC">
        <w:rPr>
          <w:rFonts w:ascii="Arial" w:eastAsia="Times New Roman" w:hAnsi="Arial" w:cs="Arial"/>
          <w:b/>
          <w:bCs/>
          <w:color w:val="000000"/>
          <w:sz w:val="20"/>
          <w:szCs w:val="20"/>
          <w:lang w:eastAsia="en-IN"/>
        </w:rPr>
        <w:tab/>
      </w:r>
      <w:r w:rsidRPr="006D04CC">
        <w:rPr>
          <w:rFonts w:ascii="Arial" w:eastAsia="Times New Roman" w:hAnsi="Arial" w:cs="Arial"/>
          <w:b/>
          <w:bCs/>
          <w:color w:val="000000"/>
          <w:sz w:val="20"/>
          <w:szCs w:val="20"/>
          <w:lang w:eastAsia="en-IN"/>
        </w:rPr>
        <w:t>July 5, 2019</w:t>
      </w:r>
    </w:p>
    <w:p w14:paraId="5761792E" w14:textId="439E910C" w:rsidR="000B5619" w:rsidRPr="004F2216" w:rsidRDefault="000B5619" w:rsidP="000B5619">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All Scheduled Commercial Banks</w:t>
      </w:r>
      <w:r w:rsidR="006D04CC">
        <w:rPr>
          <w:rFonts w:ascii="Arial" w:eastAsia="Times New Roman" w:hAnsi="Arial" w:cs="Arial"/>
          <w:color w:val="000000"/>
          <w:sz w:val="20"/>
          <w:szCs w:val="20"/>
          <w:lang w:eastAsia="en-IN"/>
        </w:rPr>
        <w:t xml:space="preserve"> </w:t>
      </w:r>
      <w:r w:rsidRPr="004F2216">
        <w:rPr>
          <w:rFonts w:ascii="Arial" w:eastAsia="Times New Roman" w:hAnsi="Arial" w:cs="Arial"/>
          <w:color w:val="000000"/>
          <w:sz w:val="20"/>
          <w:szCs w:val="20"/>
          <w:lang w:eastAsia="en-IN"/>
        </w:rPr>
        <w:t>(Excluding RRBs) &amp; Small Finance</w:t>
      </w:r>
      <w:r w:rsidR="006D04CC">
        <w:rPr>
          <w:rFonts w:ascii="Arial" w:eastAsia="Times New Roman" w:hAnsi="Arial" w:cs="Arial"/>
          <w:color w:val="000000"/>
          <w:sz w:val="20"/>
          <w:szCs w:val="20"/>
          <w:lang w:eastAsia="en-IN"/>
        </w:rPr>
        <w:t xml:space="preserve"> </w:t>
      </w:r>
      <w:r w:rsidRPr="004F2216">
        <w:rPr>
          <w:rFonts w:ascii="Arial" w:eastAsia="Times New Roman" w:hAnsi="Arial" w:cs="Arial"/>
          <w:color w:val="000000"/>
          <w:sz w:val="20"/>
          <w:szCs w:val="20"/>
          <w:lang w:eastAsia="en-IN"/>
        </w:rPr>
        <w:t>Banks (SFBs)</w:t>
      </w:r>
    </w:p>
    <w:p w14:paraId="3C8C49C9" w14:textId="77777777" w:rsidR="000B5619" w:rsidRPr="004F2216" w:rsidRDefault="000B5619" w:rsidP="000B5619">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4F2216">
        <w:rPr>
          <w:rFonts w:ascii="Arial" w:eastAsia="Times New Roman" w:hAnsi="Arial" w:cs="Arial"/>
          <w:b/>
          <w:bCs/>
          <w:color w:val="000000"/>
          <w:sz w:val="20"/>
          <w:szCs w:val="20"/>
          <w:lang w:eastAsia="en-IN"/>
        </w:rPr>
        <w:t>Basel III Framework on Liquidity Standards - Liquidity Coverage Ratio (LCR),</w:t>
      </w:r>
      <w:r w:rsidRPr="004F2216">
        <w:rPr>
          <w:rFonts w:ascii="Arial" w:eastAsia="Times New Roman" w:hAnsi="Arial" w:cs="Arial"/>
          <w:b/>
          <w:bCs/>
          <w:color w:val="000000"/>
          <w:sz w:val="20"/>
          <w:szCs w:val="20"/>
          <w:lang w:eastAsia="en-IN"/>
        </w:rPr>
        <w:br/>
        <w:t>FALLCR against credit disbursed to NBFCs and HFCs</w:t>
      </w:r>
    </w:p>
    <w:p w14:paraId="6CF77EE8" w14:textId="77777777" w:rsidR="000B5619" w:rsidRPr="004F2216" w:rsidRDefault="000B5619" w:rsidP="000B561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Please refer to our </w:t>
      </w:r>
      <w:hyperlink r:id="rId5" w:tgtFrame="_blank" w:history="1">
        <w:r w:rsidRPr="004F2216">
          <w:rPr>
            <w:rFonts w:ascii="Arial" w:eastAsia="Times New Roman" w:hAnsi="Arial" w:cs="Arial"/>
            <w:color w:val="0000FF"/>
            <w:sz w:val="20"/>
            <w:szCs w:val="20"/>
            <w:u w:val="single"/>
            <w:lang w:eastAsia="en-IN"/>
          </w:rPr>
          <w:t>DBR.BP.BC.No.34/21.04.098/2018-19 dated April 4, 2019</w:t>
        </w:r>
      </w:hyperlink>
      <w:r w:rsidRPr="004F2216">
        <w:rPr>
          <w:rFonts w:ascii="Arial" w:eastAsia="Times New Roman" w:hAnsi="Arial" w:cs="Arial"/>
          <w:color w:val="000000"/>
          <w:sz w:val="20"/>
          <w:szCs w:val="20"/>
          <w:lang w:eastAsia="en-IN"/>
        </w:rPr>
        <w:t> wherein banks have been permitted to reckon, in a phased manner, an additional 2 per cent of government securities held by them under Facility to Avail Liquidity for Liquidity Coverage Ratio (FALLCR) within the mandatory SLR requirement, as Level 1 HQLA for the purpose of computing Liquidity Coverage Ratio (LCR).</w:t>
      </w:r>
    </w:p>
    <w:p w14:paraId="6DCC70C8" w14:textId="77777777" w:rsidR="000B5619" w:rsidRPr="004F2216" w:rsidRDefault="000B5619" w:rsidP="000B561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2. As per the roadmap, FALLCR is scheduled to increase by 0.50 per cent of NDTL on August 1 and December 1, 2019, respectively. It has been decided that, with immediate effect, banks will be permitted to reckon this increase in FALLCR of 1.0 per cent of the bank’s NDTL as Level 1 HQLA for computing LCR, to the extent of incremental outstanding credit to NBFCs and Housing Finance Companies (HFCs) over and above the amount of credit to NBFCs/HFCs outstanding on their books as on date. The frontloading of FALLCR of one per cent, exclusively meant for incremental exposure to NBFCs/HFCs, will form part of general FALLCR as and when the increase in FALLCR takes place as per original schedule on August 1 and December 1, 2019.</w:t>
      </w:r>
    </w:p>
    <w:p w14:paraId="570F9514" w14:textId="77777777" w:rsidR="000B5619" w:rsidRPr="004F2216" w:rsidRDefault="000B5619" w:rsidP="000B561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4F2216">
        <w:rPr>
          <w:rFonts w:ascii="Arial" w:eastAsia="Times New Roman" w:hAnsi="Arial" w:cs="Arial"/>
          <w:color w:val="000000"/>
          <w:sz w:val="20"/>
          <w:szCs w:val="20"/>
          <w:lang w:eastAsia="en-IN"/>
        </w:rPr>
        <w:t>3. All other instructions as per our circular ibid remain unchanged.</w:t>
      </w:r>
    </w:p>
    <w:p w14:paraId="0BD6F3D0" w14:textId="77777777" w:rsidR="000B5619" w:rsidRDefault="000B5619" w:rsidP="000B5619">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softHyphen/>
      </w:r>
      <w:r>
        <w:rPr>
          <w:rFonts w:ascii="Arial" w:eastAsia="Times New Roman" w:hAnsi="Arial" w:cs="Arial"/>
          <w:color w:val="000000"/>
          <w:sz w:val="20"/>
          <w:szCs w:val="20"/>
          <w:lang w:eastAsia="en-IN"/>
        </w:rPr>
        <w:softHyphen/>
      </w:r>
      <w:r>
        <w:rPr>
          <w:rFonts w:ascii="Arial" w:eastAsia="Times New Roman" w:hAnsi="Arial" w:cs="Arial"/>
          <w:color w:val="000000"/>
          <w:sz w:val="20"/>
          <w:szCs w:val="20"/>
          <w:lang w:eastAsia="en-IN"/>
        </w:rPr>
        <w:softHyphen/>
        <w:t>___________________________________________________</w:t>
      </w:r>
    </w:p>
    <w:bookmarkEnd w:id="0"/>
    <w:p w14:paraId="09A302A7" w14:textId="77777777" w:rsidR="00BC6DE3" w:rsidRPr="0080152C" w:rsidRDefault="00BC6DE3" w:rsidP="00BC6DE3">
      <w:pPr>
        <w:shd w:val="clear" w:color="auto" w:fill="FFFFFF"/>
        <w:spacing w:before="100" w:beforeAutospacing="1" w:after="100" w:afterAutospacing="1" w:line="240" w:lineRule="auto"/>
        <w:jc w:val="both"/>
        <w:rPr>
          <w:rFonts w:ascii="Arial" w:eastAsia="Times New Roman" w:hAnsi="Arial" w:cs="Arial"/>
          <w:b/>
          <w:bCs/>
          <w:color w:val="000000"/>
          <w:sz w:val="20"/>
          <w:szCs w:val="20"/>
          <w:lang w:eastAsia="en-IN"/>
        </w:rPr>
      </w:pPr>
      <w:r w:rsidRPr="0080152C">
        <w:rPr>
          <w:rFonts w:ascii="Arial" w:eastAsia="Times New Roman" w:hAnsi="Arial" w:cs="Arial"/>
          <w:b/>
          <w:bCs/>
          <w:color w:val="000000"/>
          <w:sz w:val="20"/>
          <w:szCs w:val="20"/>
          <w:lang w:eastAsia="en-IN"/>
        </w:rPr>
        <w:t xml:space="preserve">RBI/2019-20/60 DBR.No.BP.BC.18/21.01.003/2019-20 </w:t>
      </w:r>
      <w:r w:rsidRPr="0080152C">
        <w:rPr>
          <w:rFonts w:ascii="Arial" w:eastAsia="Times New Roman" w:hAnsi="Arial" w:cs="Arial"/>
          <w:b/>
          <w:bCs/>
          <w:color w:val="000000"/>
          <w:sz w:val="20"/>
          <w:szCs w:val="20"/>
          <w:lang w:eastAsia="en-IN"/>
        </w:rPr>
        <w:tab/>
      </w:r>
      <w:r w:rsidRPr="0080152C">
        <w:rPr>
          <w:rFonts w:ascii="Arial" w:eastAsia="Times New Roman" w:hAnsi="Arial" w:cs="Arial"/>
          <w:b/>
          <w:bCs/>
          <w:color w:val="000000"/>
          <w:sz w:val="20"/>
          <w:szCs w:val="20"/>
          <w:lang w:eastAsia="en-IN"/>
        </w:rPr>
        <w:tab/>
      </w:r>
      <w:r w:rsidRPr="0080152C">
        <w:rPr>
          <w:rFonts w:ascii="Arial" w:eastAsia="Times New Roman" w:hAnsi="Arial" w:cs="Arial"/>
          <w:b/>
          <w:bCs/>
          <w:color w:val="000000"/>
          <w:sz w:val="20"/>
          <w:szCs w:val="20"/>
          <w:lang w:eastAsia="en-IN"/>
        </w:rPr>
        <w:tab/>
        <w:t>September 12, 2019</w:t>
      </w:r>
    </w:p>
    <w:p w14:paraId="4DA969A7" w14:textId="77777777" w:rsidR="00BC6DE3" w:rsidRPr="002774DE" w:rsidRDefault="00BC6DE3" w:rsidP="00BC6DE3">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Scheduled Commercial Banks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(Excluding Regional Rural Banks)</w:t>
      </w:r>
    </w:p>
    <w:p w14:paraId="77471337" w14:textId="77777777" w:rsidR="00BC6DE3" w:rsidRPr="002774DE" w:rsidRDefault="00BC6DE3" w:rsidP="00BC6DE3">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Large Exposures Framework</w:t>
      </w:r>
    </w:p>
    <w:p w14:paraId="7CB9263A" w14:textId="77777777" w:rsidR="00BC6DE3" w:rsidRPr="002774DE" w:rsidRDefault="00BC6DE3" w:rsidP="00BC6D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Please refer to paragraph 7 (a) of the </w:t>
      </w:r>
      <w:hyperlink r:id="rId6" w:tgtFrame="_blank" w:history="1">
        <w:r w:rsidRPr="002774DE">
          <w:rPr>
            <w:rFonts w:ascii="Arial" w:eastAsia="Times New Roman" w:hAnsi="Arial" w:cs="Arial"/>
            <w:color w:val="0000FF"/>
            <w:sz w:val="20"/>
            <w:szCs w:val="20"/>
            <w:u w:val="single"/>
            <w:lang w:eastAsia="en-IN"/>
          </w:rPr>
          <w:t>Statement on Developmental and Regulatory Policies dated August 7, 2019</w:t>
        </w:r>
      </w:hyperlink>
      <w:r w:rsidRPr="002774DE">
        <w:rPr>
          <w:rFonts w:ascii="Arial" w:eastAsia="Times New Roman" w:hAnsi="Arial" w:cs="Arial"/>
          <w:color w:val="000000"/>
          <w:sz w:val="20"/>
          <w:szCs w:val="20"/>
          <w:lang w:eastAsia="en-IN"/>
        </w:rPr>
        <w:t> on ‘Harmonisation of single counterparty exposure limit for banks’ exposures to a single NBFC with general single counterparty exposure limit’ (</w:t>
      </w:r>
      <w:hyperlink r:id="rId7" w:anchor="AN1" w:history="1">
        <w:r w:rsidRPr="002774DE">
          <w:rPr>
            <w:rFonts w:ascii="Arial" w:eastAsia="Times New Roman" w:hAnsi="Arial" w:cs="Arial"/>
            <w:color w:val="0000FF"/>
            <w:sz w:val="20"/>
            <w:szCs w:val="20"/>
            <w:u w:val="single"/>
            <w:lang w:eastAsia="en-IN"/>
          </w:rPr>
          <w:t>extract enclosed</w:t>
        </w:r>
      </w:hyperlink>
      <w:r w:rsidRPr="002774DE">
        <w:rPr>
          <w:rFonts w:ascii="Arial" w:eastAsia="Times New Roman" w:hAnsi="Arial" w:cs="Arial"/>
          <w:color w:val="000000"/>
          <w:sz w:val="20"/>
          <w:szCs w:val="20"/>
          <w:lang w:eastAsia="en-IN"/>
        </w:rPr>
        <w:t>).</w:t>
      </w:r>
    </w:p>
    <w:p w14:paraId="65FC8C02" w14:textId="77777777" w:rsidR="00BC6DE3" w:rsidRPr="002774DE" w:rsidRDefault="00BC6DE3" w:rsidP="00BC6D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In terms of circular </w:t>
      </w:r>
      <w:hyperlink r:id="rId8" w:tgtFrame="_blank" w:history="1">
        <w:r w:rsidRPr="002774DE">
          <w:rPr>
            <w:rFonts w:ascii="Arial" w:eastAsia="Times New Roman" w:hAnsi="Arial" w:cs="Arial"/>
            <w:color w:val="0000FF"/>
            <w:sz w:val="20"/>
            <w:szCs w:val="20"/>
            <w:u w:val="single"/>
            <w:lang w:eastAsia="en-IN"/>
          </w:rPr>
          <w:t>DBR.No.BP.BC.43/21.01.003/2018-19 dated June 03, 2019</w:t>
        </w:r>
      </w:hyperlink>
      <w:r w:rsidRPr="002774DE">
        <w:rPr>
          <w:rFonts w:ascii="Arial" w:eastAsia="Times New Roman" w:hAnsi="Arial" w:cs="Arial"/>
          <w:color w:val="000000"/>
          <w:sz w:val="20"/>
          <w:szCs w:val="20"/>
          <w:lang w:eastAsia="en-IN"/>
        </w:rPr>
        <w:t> on “Large Exposures Framework (LEF)”, banks’ exposures to a single NBFC is restricted to 15 percent of their available eligible capital base, while general single counterparty exposure limit is 20 percent, which can be extended to 25 percent by banks’ Boards under exceptional circumstances.</w:t>
      </w:r>
    </w:p>
    <w:p w14:paraId="24941C31" w14:textId="77777777" w:rsidR="00BC6DE3" w:rsidRPr="002774DE" w:rsidRDefault="00BC6DE3" w:rsidP="00BC6D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It has been decided that a bank’s exposure to a single NBFC (excluding gold loan companies) will be restricted to 20 percent of that bank’s eligible capital base. Bank finance to NBFCs predominantly engaged in lending against gold will continue to be governed by limits prescribed in circular </w:t>
      </w:r>
      <w:hyperlink r:id="rId9" w:tgtFrame="_blank" w:history="1">
        <w:r w:rsidRPr="002774DE">
          <w:rPr>
            <w:rFonts w:ascii="Arial" w:eastAsia="Times New Roman" w:hAnsi="Arial" w:cs="Arial"/>
            <w:color w:val="0000FF"/>
            <w:sz w:val="20"/>
            <w:szCs w:val="20"/>
            <w:u w:val="single"/>
            <w:lang w:eastAsia="en-IN"/>
          </w:rPr>
          <w:t>DBOD.BP.BC.No.106/21.04.172/2011-12 dated May 18, 2012</w:t>
        </w:r>
      </w:hyperlink>
      <w:r w:rsidRPr="002774DE">
        <w:rPr>
          <w:rFonts w:ascii="Arial" w:eastAsia="Times New Roman" w:hAnsi="Arial" w:cs="Arial"/>
          <w:color w:val="000000"/>
          <w:sz w:val="20"/>
          <w:szCs w:val="20"/>
          <w:lang w:eastAsia="en-IN"/>
        </w:rPr>
        <w:t>.</w:t>
      </w:r>
    </w:p>
    <w:p w14:paraId="610A5A1E" w14:textId="77777777" w:rsidR="00BC6DE3" w:rsidRDefault="00BC6DE3" w:rsidP="00BC6DE3">
      <w:r>
        <w:t>--------------------------</w:t>
      </w:r>
    </w:p>
    <w:p w14:paraId="781D1211" w14:textId="77777777" w:rsidR="00924E69" w:rsidRDefault="00924E69">
      <w:pP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br w:type="page"/>
      </w:r>
    </w:p>
    <w:p w14:paraId="65301454" w14:textId="332A481B" w:rsidR="00BC6DE3" w:rsidRPr="002774DE" w:rsidRDefault="00BC6DE3" w:rsidP="00BC6D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lastRenderedPageBreak/>
        <w:t>RBI/2019-20/59</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DBR.No.BP.BC.17/21.06.001/2019-20</w:t>
      </w:r>
      <w:r>
        <w:rPr>
          <w:rFonts w:ascii="Arial" w:eastAsia="Times New Roman" w:hAnsi="Arial" w:cs="Arial"/>
          <w:color w:val="000000"/>
          <w:sz w:val="20"/>
          <w:szCs w:val="20"/>
          <w:lang w:eastAsia="en-IN"/>
        </w:rPr>
        <w:t xml:space="preserve"> </w:t>
      </w:r>
      <w:r>
        <w:rPr>
          <w:rFonts w:ascii="Arial" w:eastAsia="Times New Roman" w:hAnsi="Arial" w:cs="Arial"/>
          <w:color w:val="000000"/>
          <w:sz w:val="20"/>
          <w:szCs w:val="20"/>
          <w:lang w:eastAsia="en-IN"/>
        </w:rPr>
        <w:tab/>
      </w:r>
      <w:r>
        <w:rPr>
          <w:rFonts w:ascii="Arial" w:eastAsia="Times New Roman" w:hAnsi="Arial" w:cs="Arial"/>
          <w:color w:val="000000"/>
          <w:sz w:val="20"/>
          <w:szCs w:val="20"/>
          <w:lang w:eastAsia="en-IN"/>
        </w:rPr>
        <w:tab/>
      </w:r>
      <w:r>
        <w:rPr>
          <w:rFonts w:ascii="Arial" w:eastAsia="Times New Roman" w:hAnsi="Arial" w:cs="Arial"/>
          <w:color w:val="000000"/>
          <w:sz w:val="20"/>
          <w:szCs w:val="20"/>
          <w:lang w:eastAsia="en-IN"/>
        </w:rPr>
        <w:tab/>
      </w:r>
      <w:r w:rsidRPr="002774DE">
        <w:rPr>
          <w:rFonts w:ascii="Arial" w:eastAsia="Times New Roman" w:hAnsi="Arial" w:cs="Arial"/>
          <w:color w:val="000000"/>
          <w:sz w:val="20"/>
          <w:szCs w:val="20"/>
          <w:lang w:eastAsia="en-IN"/>
        </w:rPr>
        <w:t>September 12, 2019</w:t>
      </w:r>
    </w:p>
    <w:p w14:paraId="0088B5C8" w14:textId="77777777" w:rsidR="00BC6DE3" w:rsidRPr="002774DE" w:rsidRDefault="00BC6DE3" w:rsidP="00BC6DE3">
      <w:pPr>
        <w:shd w:val="clear" w:color="auto" w:fill="FFFFFF"/>
        <w:spacing w:before="100" w:beforeAutospacing="1" w:after="100" w:afterAutospacing="1" w:line="240" w:lineRule="auto"/>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All Scheduled Commercial Banks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Local Area Banks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Small Finance Banks</w:t>
      </w:r>
      <w:r>
        <w:rPr>
          <w:rFonts w:ascii="Arial" w:eastAsia="Times New Roman" w:hAnsi="Arial" w:cs="Arial"/>
          <w:color w:val="000000"/>
          <w:sz w:val="20"/>
          <w:szCs w:val="20"/>
          <w:lang w:eastAsia="en-IN"/>
        </w:rPr>
        <w:t xml:space="preserve"> /</w:t>
      </w:r>
      <w:r w:rsidRPr="002774DE">
        <w:rPr>
          <w:rFonts w:ascii="Arial" w:eastAsia="Times New Roman" w:hAnsi="Arial" w:cs="Arial"/>
          <w:color w:val="000000"/>
          <w:sz w:val="20"/>
          <w:szCs w:val="20"/>
          <w:lang w:eastAsia="en-IN"/>
        </w:rPr>
        <w:t>All Regional Rural Banks</w:t>
      </w:r>
    </w:p>
    <w:p w14:paraId="17B27647" w14:textId="77777777" w:rsidR="00BC6DE3" w:rsidRPr="002774DE" w:rsidRDefault="00BC6DE3" w:rsidP="00BC6DE3">
      <w:pPr>
        <w:shd w:val="clear" w:color="auto" w:fill="FFFFFF"/>
        <w:spacing w:before="100" w:beforeAutospacing="1" w:after="100" w:afterAutospacing="1" w:line="240" w:lineRule="auto"/>
        <w:jc w:val="center"/>
        <w:rPr>
          <w:rFonts w:ascii="Arial" w:eastAsia="Times New Roman" w:hAnsi="Arial" w:cs="Arial"/>
          <w:b/>
          <w:bCs/>
          <w:color w:val="000000"/>
          <w:sz w:val="20"/>
          <w:szCs w:val="20"/>
          <w:lang w:eastAsia="en-IN"/>
        </w:rPr>
      </w:pPr>
      <w:r w:rsidRPr="002774DE">
        <w:rPr>
          <w:rFonts w:ascii="Arial" w:eastAsia="Times New Roman" w:hAnsi="Arial" w:cs="Arial"/>
          <w:b/>
          <w:bCs/>
          <w:color w:val="000000"/>
          <w:sz w:val="20"/>
          <w:szCs w:val="20"/>
          <w:lang w:eastAsia="en-IN"/>
        </w:rPr>
        <w:t>Risk Weight for Consumer Credit except credit card receivables</w:t>
      </w:r>
    </w:p>
    <w:p w14:paraId="3470333F" w14:textId="77777777" w:rsidR="00BC6DE3" w:rsidRPr="002774DE" w:rsidRDefault="00BC6DE3" w:rsidP="00BC6D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Please refer to paragraph 6 of the </w:t>
      </w:r>
      <w:hyperlink r:id="rId10" w:tgtFrame="_blank" w:history="1">
        <w:r w:rsidRPr="002774DE">
          <w:rPr>
            <w:rFonts w:ascii="Arial" w:eastAsia="Times New Roman" w:hAnsi="Arial" w:cs="Arial"/>
            <w:color w:val="0000FF"/>
            <w:sz w:val="20"/>
            <w:szCs w:val="20"/>
            <w:u w:val="single"/>
            <w:lang w:eastAsia="en-IN"/>
          </w:rPr>
          <w:t>Statement on Developmental and Regulatory Policies dated August 7, 2019</w:t>
        </w:r>
      </w:hyperlink>
      <w:r w:rsidRPr="002774DE">
        <w:rPr>
          <w:rFonts w:ascii="Arial" w:eastAsia="Times New Roman" w:hAnsi="Arial" w:cs="Arial"/>
          <w:color w:val="000000"/>
          <w:sz w:val="20"/>
          <w:szCs w:val="20"/>
          <w:lang w:eastAsia="en-IN"/>
        </w:rPr>
        <w:t> on ‘Reduction in risk weight for consumer credit except credit card receivables’ (</w:t>
      </w:r>
      <w:hyperlink r:id="rId11" w:anchor="AN1" w:history="1">
        <w:r w:rsidRPr="002774DE">
          <w:rPr>
            <w:rFonts w:ascii="Arial" w:eastAsia="Times New Roman" w:hAnsi="Arial" w:cs="Arial"/>
            <w:color w:val="0000FF"/>
            <w:sz w:val="20"/>
            <w:szCs w:val="20"/>
            <w:u w:val="single"/>
            <w:lang w:eastAsia="en-IN"/>
          </w:rPr>
          <w:t>extract enclosed</w:t>
        </w:r>
      </w:hyperlink>
      <w:r w:rsidRPr="002774DE">
        <w:rPr>
          <w:rFonts w:ascii="Arial" w:eastAsia="Times New Roman" w:hAnsi="Arial" w:cs="Arial"/>
          <w:color w:val="000000"/>
          <w:sz w:val="20"/>
          <w:szCs w:val="20"/>
          <w:lang w:eastAsia="en-IN"/>
        </w:rPr>
        <w:t>).</w:t>
      </w:r>
    </w:p>
    <w:p w14:paraId="4F6AD8BB" w14:textId="77777777" w:rsidR="00BC6DE3" w:rsidRPr="002774DE" w:rsidRDefault="00BC6DE3" w:rsidP="00BC6D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2. As per extant instructions, consumer credit, including personal loans and credit card receivables but excluding educational loans, attracts a higher risk weight of 125 per cent or higher, if warranted by the external rating of the counterparty.</w:t>
      </w:r>
    </w:p>
    <w:p w14:paraId="51096226" w14:textId="77777777" w:rsidR="00BC6DE3" w:rsidRPr="002774DE" w:rsidRDefault="00BC6DE3" w:rsidP="00BC6DE3">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N"/>
        </w:rPr>
      </w:pPr>
      <w:r w:rsidRPr="002774DE">
        <w:rPr>
          <w:rFonts w:ascii="Arial" w:eastAsia="Times New Roman" w:hAnsi="Arial" w:cs="Arial"/>
          <w:color w:val="000000"/>
          <w:sz w:val="20"/>
          <w:szCs w:val="20"/>
          <w:lang w:eastAsia="en-IN"/>
        </w:rPr>
        <w:t>3. On a review, it has been decided to reduce the risk weight for consumer credit, including personal loans, but excluding credit card receivables, to 100%. Other stipulations remain the same.</w:t>
      </w:r>
    </w:p>
    <w:p w14:paraId="700736A6" w14:textId="77777777" w:rsidR="00BC6DE3" w:rsidRDefault="00BC6DE3" w:rsidP="00BC6DE3">
      <w:r>
        <w:t>-------------------------------</w:t>
      </w:r>
    </w:p>
    <w:p w14:paraId="77F0C3DC" w14:textId="77777777" w:rsidR="000B5619" w:rsidRPr="000B5619" w:rsidRDefault="000B5619">
      <w:pPr>
        <w:rPr>
          <w:lang w:val="en-US"/>
        </w:rPr>
      </w:pPr>
    </w:p>
    <w:sectPr w:rsidR="000B5619" w:rsidRPr="000B56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846D2"/>
    <w:multiLevelType w:val="multilevel"/>
    <w:tmpl w:val="6A26AF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27A928E4"/>
    <w:multiLevelType w:val="multilevel"/>
    <w:tmpl w:val="D56405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A5760A8"/>
    <w:multiLevelType w:val="multilevel"/>
    <w:tmpl w:val="CCB25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81A7543"/>
    <w:multiLevelType w:val="multilevel"/>
    <w:tmpl w:val="96907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lowerLetter"/>
        <w:lvlText w:val="%1."/>
        <w:lvlJc w:val="left"/>
      </w:lvl>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19"/>
    <w:rsid w:val="000B5619"/>
    <w:rsid w:val="004778E9"/>
    <w:rsid w:val="00601E5B"/>
    <w:rsid w:val="006D04CC"/>
    <w:rsid w:val="0071001D"/>
    <w:rsid w:val="007F08BE"/>
    <w:rsid w:val="00844A8F"/>
    <w:rsid w:val="00924E69"/>
    <w:rsid w:val="00BB783F"/>
    <w:rsid w:val="00BC6DE3"/>
    <w:rsid w:val="00D60B37"/>
    <w:rsid w:val="00EC39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7D9C2"/>
  <w15:chartTrackingRefBased/>
  <w15:docId w15:val="{FA81617F-53D9-41E9-B2F3-9F0122F1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B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806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1573&amp;Mode=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bi.org.in/Scripts/NotificationUser.aspx?Id=11685&amp;Mode=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bi.org.in/Scripts/BS_PressReleaseDisplay.aspx?prid=47819" TargetMode="External"/><Relationship Id="rId11" Type="http://schemas.openxmlformats.org/officeDocument/2006/relationships/hyperlink" Target="https://www.rbi.org.in/Scripts/NotificationUser.aspx?Id=11684&amp;Mode=0" TargetMode="External"/><Relationship Id="rId5" Type="http://schemas.openxmlformats.org/officeDocument/2006/relationships/hyperlink" Target="https://rbi.org.in/Scripts/NotificationUser.aspx?Id=11529&amp;Mode=0" TargetMode="External"/><Relationship Id="rId10" Type="http://schemas.openxmlformats.org/officeDocument/2006/relationships/hyperlink" Target="https://www.rbi.org.in/Scripts/BS_PressReleaseDisplay.aspx?prid=47819" TargetMode="External"/><Relationship Id="rId4" Type="http://schemas.openxmlformats.org/officeDocument/2006/relationships/webSettings" Target="webSettings.xml"/><Relationship Id="rId9" Type="http://schemas.openxmlformats.org/officeDocument/2006/relationships/hyperlink" Target="https://www.rbi.org.in/Scripts/NotificationUser.aspx?Id=7222&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6</cp:revision>
  <dcterms:created xsi:type="dcterms:W3CDTF">2020-05-19T01:14:00Z</dcterms:created>
  <dcterms:modified xsi:type="dcterms:W3CDTF">2020-05-19T05:24:00Z</dcterms:modified>
</cp:coreProperties>
</file>