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4070E0">
      <w:pPr>
        <w:rPr>
          <w:b/>
          <w:color w:val="2E74B5" w:themeColor="accent1" w:themeShade="BF"/>
          <w:sz w:val="24"/>
        </w:rPr>
      </w:pPr>
      <w:r>
        <w:rPr>
          <w:b/>
          <w:color w:val="2E74B5" w:themeColor="accent1" w:themeShade="BF"/>
          <w:sz w:val="24"/>
        </w:rPr>
        <w:t>Information Technology</w:t>
      </w:r>
    </w:p>
    <w:tbl>
      <w:tblPr>
        <w:tblW w:w="9320" w:type="dxa"/>
        <w:tblLook w:val="04A0" w:firstRow="1" w:lastRow="0" w:firstColumn="1" w:lastColumn="0" w:noHBand="0" w:noVBand="1"/>
      </w:tblPr>
      <w:tblGrid>
        <w:gridCol w:w="985"/>
        <w:gridCol w:w="8335"/>
      </w:tblGrid>
      <w:tr w:rsidR="004070E0" w:rsidRPr="00EB19AA" w:rsidTr="00EB19AA">
        <w:trPr>
          <w:trHeight w:val="233"/>
        </w:trPr>
        <w:tc>
          <w:tcPr>
            <w:tcW w:w="985" w:type="dxa"/>
            <w:tcBorders>
              <w:top w:val="single" w:sz="4" w:space="0" w:color="auto"/>
              <w:left w:val="single" w:sz="4" w:space="0" w:color="auto"/>
              <w:bottom w:val="single" w:sz="4" w:space="0" w:color="auto"/>
              <w:right w:val="single" w:sz="4" w:space="0" w:color="auto"/>
            </w:tcBorders>
          </w:tcPr>
          <w:p w:rsidR="004070E0" w:rsidRPr="00EB19AA" w:rsidRDefault="004070E0" w:rsidP="00EB19AA">
            <w:pPr>
              <w:spacing w:after="0" w:line="240" w:lineRule="auto"/>
              <w:jc w:val="center"/>
              <w:rPr>
                <w:rFonts w:ascii="Calibri" w:eastAsia="Times New Roman" w:hAnsi="Calibri" w:cs="Calibri"/>
                <w:b/>
                <w:bCs/>
                <w:color w:val="000000"/>
                <w:szCs w:val="20"/>
              </w:rPr>
            </w:pPr>
            <w:r w:rsidRPr="00EB19AA">
              <w:rPr>
                <w:rFonts w:ascii="Calibri" w:eastAsia="Times New Roman" w:hAnsi="Calibri" w:cs="Calibri"/>
                <w:b/>
                <w:bCs/>
                <w:color w:val="000000"/>
                <w:szCs w:val="20"/>
              </w:rPr>
              <w:t>Sr. No.</w:t>
            </w:r>
          </w:p>
        </w:tc>
        <w:tc>
          <w:tcPr>
            <w:tcW w:w="8335" w:type="dxa"/>
            <w:tcBorders>
              <w:top w:val="single" w:sz="4" w:space="0" w:color="auto"/>
              <w:left w:val="single" w:sz="4" w:space="0" w:color="auto"/>
              <w:bottom w:val="single" w:sz="4" w:space="0" w:color="auto"/>
              <w:right w:val="single" w:sz="4" w:space="0" w:color="auto"/>
            </w:tcBorders>
            <w:shd w:val="clear" w:color="auto" w:fill="auto"/>
            <w:hideMark/>
          </w:tcPr>
          <w:p w:rsidR="004070E0" w:rsidRPr="00EB19AA" w:rsidRDefault="004070E0" w:rsidP="00EB19AA">
            <w:pPr>
              <w:spacing w:after="0" w:line="240" w:lineRule="auto"/>
              <w:jc w:val="center"/>
              <w:rPr>
                <w:rFonts w:ascii="Calibri" w:eastAsia="Times New Roman" w:hAnsi="Calibri" w:cs="Calibri"/>
                <w:b/>
                <w:bCs/>
                <w:color w:val="000000"/>
                <w:szCs w:val="20"/>
              </w:rPr>
            </w:pPr>
            <w:r w:rsidRPr="00EB19AA">
              <w:rPr>
                <w:rFonts w:ascii="Calibri" w:eastAsia="Times New Roman" w:hAnsi="Calibri" w:cs="Calibri"/>
                <w:b/>
                <w:bCs/>
                <w:color w:val="000000"/>
                <w:szCs w:val="20"/>
              </w:rPr>
              <w:t>RBI Notifications</w:t>
            </w:r>
          </w:p>
        </w:tc>
      </w:tr>
      <w:tr w:rsidR="004070E0" w:rsidRPr="00EB19AA" w:rsidTr="00EB19AA">
        <w:trPr>
          <w:trHeight w:val="512"/>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1</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Usage of Automated Teller Machines / Cash Recycler Machines – Review of Interchange Fee and Customer Charges</w:t>
            </w:r>
          </w:p>
        </w:tc>
      </w:tr>
      <w:tr w:rsidR="004070E0" w:rsidRPr="00EB19AA" w:rsidTr="00EB19AA">
        <w:trPr>
          <w:trHeight w:val="255"/>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2</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Preservation of CCTV recordings</w:t>
            </w:r>
          </w:p>
        </w:tc>
      </w:tr>
      <w:tr w:rsidR="004070E0" w:rsidRPr="00EB19AA" w:rsidTr="00EB19AA">
        <w:trPr>
          <w:trHeight w:val="368"/>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3</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Customer Due Diligence for transactions in Virtual Currencies (VC)</w:t>
            </w:r>
          </w:p>
        </w:tc>
      </w:tr>
      <w:tr w:rsidR="004070E0" w:rsidRPr="00EB19AA" w:rsidTr="00EB19AA">
        <w:trPr>
          <w:trHeight w:val="575"/>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4</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Prepaid Payment Instruments (PPIs) – (i) Mandating Interoperability; (ii) Increasing the Limit to ₹2 lakh for Full-KYC PPIs; and (iii) Permitting Cash Withdrawal from Full-KYC PPIs of Non-Bank PPI Issuers</w:t>
            </w:r>
          </w:p>
        </w:tc>
      </w:tr>
      <w:tr w:rsidR="004070E0" w:rsidRPr="00EB19AA" w:rsidTr="00EB19AA">
        <w:trPr>
          <w:trHeight w:val="305"/>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5</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Framework for processing of e-mandates for recurring online transactions</w:t>
            </w:r>
          </w:p>
        </w:tc>
      </w:tr>
      <w:tr w:rsidR="004070E0" w:rsidRPr="00EB19AA" w:rsidTr="00EB19AA">
        <w:trPr>
          <w:trHeight w:val="350"/>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6</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Guidelines on Regulation of Payment Aggregators and Payment Gateways</w:t>
            </w:r>
          </w:p>
        </w:tc>
      </w:tr>
      <w:tr w:rsidR="004070E0" w:rsidRPr="00EB19AA" w:rsidTr="00EB19AA">
        <w:trPr>
          <w:trHeight w:val="350"/>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7</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Extension of Cheque Truncation System (CTS) across all bank branches in the country</w:t>
            </w:r>
          </w:p>
        </w:tc>
      </w:tr>
      <w:tr w:rsidR="004070E0" w:rsidRPr="00EB19AA" w:rsidTr="00EB19AA">
        <w:trPr>
          <w:trHeight w:val="350"/>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8</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Master Direction on Digital Payment Security Controls</w:t>
            </w:r>
          </w:p>
        </w:tc>
      </w:tr>
      <w:tr w:rsidR="004070E0" w:rsidRPr="00EB19AA" w:rsidTr="00EB19AA">
        <w:trPr>
          <w:trHeight w:val="350"/>
        </w:trPr>
        <w:tc>
          <w:tcPr>
            <w:tcW w:w="985" w:type="dxa"/>
            <w:tcBorders>
              <w:top w:val="nil"/>
              <w:left w:val="single" w:sz="4" w:space="0" w:color="auto"/>
              <w:bottom w:val="single" w:sz="4" w:space="0" w:color="auto"/>
              <w:right w:val="single" w:sz="4" w:space="0" w:color="auto"/>
            </w:tcBorders>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9</w:t>
            </w:r>
          </w:p>
        </w:tc>
        <w:tc>
          <w:tcPr>
            <w:tcW w:w="8335" w:type="dxa"/>
            <w:tcBorders>
              <w:top w:val="nil"/>
              <w:left w:val="single" w:sz="4" w:space="0" w:color="auto"/>
              <w:bottom w:val="single" w:sz="4" w:space="0" w:color="auto"/>
              <w:right w:val="single" w:sz="4" w:space="0" w:color="auto"/>
            </w:tcBorders>
            <w:shd w:val="clear" w:color="auto" w:fill="auto"/>
            <w:hideMark/>
          </w:tcPr>
          <w:p w:rsidR="004070E0" w:rsidRPr="00EB19AA" w:rsidRDefault="004070E0" w:rsidP="004070E0">
            <w:pPr>
              <w:spacing w:after="0" w:line="240" w:lineRule="auto"/>
              <w:rPr>
                <w:rFonts w:ascii="Calibri" w:eastAsia="Times New Roman" w:hAnsi="Calibri" w:cs="Calibri"/>
                <w:color w:val="000000"/>
                <w:szCs w:val="20"/>
              </w:rPr>
            </w:pPr>
            <w:r w:rsidRPr="00EB19AA">
              <w:rPr>
                <w:rFonts w:ascii="Calibri" w:eastAsia="Times New Roman" w:hAnsi="Calibri" w:cs="Calibri"/>
                <w:color w:val="000000"/>
                <w:szCs w:val="20"/>
              </w:rPr>
              <w:t>Booklet on Payment Systems in India</w:t>
            </w:r>
          </w:p>
        </w:tc>
      </w:tr>
    </w:tbl>
    <w:p w:rsidR="00174F55" w:rsidRDefault="00174F55">
      <w:pPr>
        <w:rPr>
          <w:b/>
          <w:color w:val="2E74B5" w:themeColor="accent1" w:themeShade="BF"/>
        </w:rPr>
      </w:pPr>
    </w:p>
    <w:p w:rsidR="007E6C79" w:rsidRDefault="007E6C79" w:rsidP="007E6C79">
      <w:pPr>
        <w:pStyle w:val="NormalWeb"/>
        <w:shd w:val="clear" w:color="auto" w:fill="FFFFFF"/>
        <w:spacing w:before="0" w:beforeAutospacing="0" w:after="0" w:afterAutospacing="0"/>
        <w:jc w:val="both"/>
        <w:rPr>
          <w:b/>
          <w:bCs/>
          <w:color w:val="000000"/>
        </w:rPr>
      </w:pPr>
      <w:r>
        <w:rPr>
          <w:b/>
          <w:bCs/>
          <w:color w:val="000000"/>
        </w:rPr>
        <w:t xml:space="preserve">1. </w:t>
      </w:r>
      <w:r w:rsidRPr="00C760EA">
        <w:rPr>
          <w:b/>
          <w:bCs/>
          <w:color w:val="000000"/>
        </w:rPr>
        <w:t>Usage of Automated Teller Machines / Cash Recycler Machines – Review of Interchange Fee and Customer Charges</w:t>
      </w:r>
    </w:p>
    <w:p w:rsidR="007E6C79" w:rsidRPr="00C760EA" w:rsidRDefault="007E6C79" w:rsidP="007E6C79">
      <w:pPr>
        <w:pStyle w:val="NormalWeb"/>
        <w:shd w:val="clear" w:color="auto" w:fill="FFFFFF"/>
        <w:spacing w:before="0" w:beforeAutospacing="0" w:after="0" w:afterAutospacing="0"/>
        <w:jc w:val="both"/>
        <w:rPr>
          <w:b/>
          <w:bCs/>
          <w:color w:val="000000"/>
        </w:rPr>
      </w:pPr>
    </w:p>
    <w:p w:rsidR="007E6C79" w:rsidRDefault="007E6C79" w:rsidP="007E6C79">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RBI/2021-22/52DPSS.CO.OD.No.S-182/06.07.011/2021-22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10, 2021</w:t>
      </w:r>
    </w:p>
    <w:p w:rsidR="007E6C79" w:rsidRPr="00762028" w:rsidRDefault="007E6C79" w:rsidP="007E6C7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7E6C79" w:rsidRPr="00762028" w:rsidRDefault="007E6C79" w:rsidP="007E6C79">
      <w:pPr>
        <w:pStyle w:val="NormalWeb"/>
        <w:shd w:val="clear" w:color="auto" w:fill="FFFFFF"/>
        <w:spacing w:before="0" w:beforeAutospacing="0" w:after="0" w:afterAutospacing="0"/>
        <w:jc w:val="both"/>
        <w:rPr>
          <w:i/>
          <w:color w:val="000000"/>
        </w:rPr>
      </w:pPr>
      <w:r w:rsidRPr="00762028">
        <w:rPr>
          <w:i/>
          <w:color w:val="000000"/>
        </w:rPr>
        <w:t>The Chairman and Managing Director / Chief Executive Officer, All Scheduled Commercial Banks including RRBs / Urban Co-operative Banks / State Co-operative Banks / District Central Co-operative Banks / Authorised ATM Network Operators / Card Payment Network Operators / White Label ATM Operators</w:t>
      </w:r>
    </w:p>
    <w:p w:rsidR="007E6C79" w:rsidRPr="00C760EA" w:rsidRDefault="007E6C79" w:rsidP="007E6C79">
      <w:pPr>
        <w:pStyle w:val="NormalWeb"/>
        <w:shd w:val="clear" w:color="auto" w:fill="FFFFFF"/>
        <w:spacing w:before="0" w:beforeAutospacing="0" w:after="0" w:afterAutospacing="0"/>
        <w:jc w:val="both"/>
        <w:rPr>
          <w:color w:val="000000"/>
        </w:rPr>
      </w:pPr>
    </w:p>
    <w:p w:rsidR="007E6C79" w:rsidRPr="00C760EA" w:rsidRDefault="007E6C79" w:rsidP="007E6C79">
      <w:pPr>
        <w:pStyle w:val="NormalWeb"/>
        <w:shd w:val="clear" w:color="auto" w:fill="FFFFFF"/>
        <w:spacing w:before="0" w:beforeAutospacing="0" w:after="0" w:afterAutospacing="0"/>
        <w:jc w:val="both"/>
        <w:rPr>
          <w:color w:val="000000"/>
        </w:rPr>
      </w:pPr>
      <w:r w:rsidRPr="00C760EA">
        <w:rPr>
          <w:color w:val="000000"/>
        </w:rPr>
        <w:t>The Reserve Bank of India had constituted a Committee in </w:t>
      </w:r>
      <w:hyperlink r:id="rId5" w:tgtFrame="_blank" w:history="1">
        <w:r w:rsidRPr="00C760EA">
          <w:rPr>
            <w:rStyle w:val="Hyperlink"/>
          </w:rPr>
          <w:t>June 2019</w:t>
        </w:r>
      </w:hyperlink>
      <w:r w:rsidRPr="00C760EA">
        <w:rPr>
          <w:color w:val="000000"/>
        </w:rPr>
        <w:t> under the Chairmanship of the Chief Executive, Indian Banks’ Association to review the entire gamut of Automated Teller Machine (ATM) charges and fees with particular focus on interchange structure for ATM transactions.</w:t>
      </w:r>
    </w:p>
    <w:p w:rsidR="007E6C79" w:rsidRDefault="007E6C79" w:rsidP="007E6C79">
      <w:pPr>
        <w:pStyle w:val="NormalWeb"/>
        <w:shd w:val="clear" w:color="auto" w:fill="FFFFFF"/>
        <w:spacing w:before="0" w:beforeAutospacing="0" w:after="0" w:afterAutospacing="0"/>
        <w:jc w:val="both"/>
        <w:rPr>
          <w:color w:val="000000"/>
        </w:rPr>
      </w:pPr>
    </w:p>
    <w:p w:rsidR="007E6C79" w:rsidRPr="00C760EA" w:rsidRDefault="007E6C79" w:rsidP="007E6C79">
      <w:pPr>
        <w:pStyle w:val="NormalWeb"/>
        <w:shd w:val="clear" w:color="auto" w:fill="FFFFFF"/>
        <w:spacing w:before="0" w:beforeAutospacing="0" w:after="0" w:afterAutospacing="0"/>
        <w:jc w:val="both"/>
        <w:rPr>
          <w:color w:val="000000"/>
        </w:rPr>
      </w:pPr>
      <w:r w:rsidRPr="00C760EA">
        <w:rPr>
          <w:color w:val="000000"/>
        </w:rPr>
        <w:t>2. The recommendations of the Committee have been comprehensively examined. It is also observed that the last change in interchange fee structure for ATM transactions was in August 2012, while the charges payable by customers were last revised in August 2014. A substantial time has thus elapsed since these fees were last changed. Accordingly, given the increasing cost of ATM deployment and expenses towards ATM maintenance incurred by banks / white label ATM operators, as also considering the need to balance expectations of stakeholder entities and customer convenience, it has been decided as under :</w:t>
      </w:r>
    </w:p>
    <w:p w:rsidR="007E6C79" w:rsidRPr="00C760EA" w:rsidRDefault="007E6C79" w:rsidP="007E6C79">
      <w:pPr>
        <w:pStyle w:val="NormalWeb"/>
        <w:numPr>
          <w:ilvl w:val="0"/>
          <w:numId w:val="1"/>
        </w:numPr>
        <w:shd w:val="clear" w:color="auto" w:fill="FFFFFF"/>
        <w:spacing w:before="0" w:beforeAutospacing="0" w:after="0" w:afterAutospacing="0"/>
        <w:jc w:val="both"/>
        <w:rPr>
          <w:color w:val="000000"/>
        </w:rPr>
      </w:pPr>
      <w:r w:rsidRPr="00C760EA">
        <w:rPr>
          <w:color w:val="000000"/>
        </w:rPr>
        <w:t>Allow increase in interchange fee per transaction from ₹15 to ₹17 for financial transactions and from ₹5 to ₹6 for non-financial transactions in all centres. This shall be effective from August 1, 2021.</w:t>
      </w:r>
    </w:p>
    <w:p w:rsidR="007E6C79" w:rsidRPr="00C760EA" w:rsidRDefault="007E6C79" w:rsidP="007E6C79">
      <w:pPr>
        <w:pStyle w:val="NormalWeb"/>
        <w:numPr>
          <w:ilvl w:val="0"/>
          <w:numId w:val="1"/>
        </w:numPr>
        <w:shd w:val="clear" w:color="auto" w:fill="FFFFFF"/>
        <w:spacing w:before="0" w:beforeAutospacing="0" w:after="0" w:afterAutospacing="0"/>
        <w:jc w:val="both"/>
        <w:rPr>
          <w:color w:val="000000"/>
        </w:rPr>
      </w:pPr>
      <w:r w:rsidRPr="00C760EA">
        <w:rPr>
          <w:color w:val="000000"/>
        </w:rPr>
        <w:t xml:space="preserve">Customers are eligible for five free transactions (inclusive of financial and non-financial transactions) every month from their own bank ATMs. They are also eligible for free transactions (inclusive of financial and non-financial transactions) from other bank ATMs viz. </w:t>
      </w:r>
      <w:r w:rsidRPr="00C760EA">
        <w:rPr>
          <w:color w:val="000000"/>
        </w:rPr>
        <w:lastRenderedPageBreak/>
        <w:t>three transactions in metro centres and five transactions in non-metro centres. Beyond the free transactions, the ceiling / cap on customer charges is ₹20 per transaction, as prescribed vide </w:t>
      </w:r>
      <w:hyperlink r:id="rId6" w:tgtFrame="_blank" w:history="1">
        <w:r w:rsidRPr="00C760EA">
          <w:rPr>
            <w:rStyle w:val="Hyperlink"/>
          </w:rPr>
          <w:t>circular DPSS.CO.PD.No.316/02.10.002/2014-2015 dated August 14, 2014</w:t>
        </w:r>
      </w:hyperlink>
      <w:r w:rsidRPr="00C760EA">
        <w:rPr>
          <w:color w:val="000000"/>
        </w:rPr>
        <w:t>. To compensate the banks for the higher interchange fee and given the general escalation in costs, they are allowed to increase the customer charges to ₹21 per transaction. This increase shall be effective from January 1, 2022.</w:t>
      </w:r>
    </w:p>
    <w:p w:rsidR="007E6C79" w:rsidRPr="00C760EA" w:rsidRDefault="007E6C79" w:rsidP="007E6C79">
      <w:pPr>
        <w:pStyle w:val="NormalWeb"/>
        <w:numPr>
          <w:ilvl w:val="0"/>
          <w:numId w:val="1"/>
        </w:numPr>
        <w:shd w:val="clear" w:color="auto" w:fill="FFFFFF"/>
        <w:spacing w:before="0" w:beforeAutospacing="0" w:after="0" w:afterAutospacing="0"/>
        <w:jc w:val="both"/>
        <w:rPr>
          <w:color w:val="000000"/>
        </w:rPr>
      </w:pPr>
      <w:r w:rsidRPr="00C760EA">
        <w:rPr>
          <w:color w:val="000000"/>
        </w:rPr>
        <w:t>Applicable taxes, if any, shall be additionally payable.</w:t>
      </w:r>
    </w:p>
    <w:p w:rsidR="007E6C79" w:rsidRPr="00C760EA" w:rsidRDefault="007E6C79" w:rsidP="007E6C79">
      <w:pPr>
        <w:pStyle w:val="NormalWeb"/>
        <w:numPr>
          <w:ilvl w:val="0"/>
          <w:numId w:val="1"/>
        </w:numPr>
        <w:shd w:val="clear" w:color="auto" w:fill="FFFFFF"/>
        <w:spacing w:before="0" w:beforeAutospacing="0" w:after="0" w:afterAutospacing="0"/>
        <w:jc w:val="both"/>
        <w:rPr>
          <w:color w:val="000000"/>
        </w:rPr>
      </w:pPr>
      <w:r w:rsidRPr="00C760EA">
        <w:rPr>
          <w:color w:val="000000"/>
        </w:rPr>
        <w:t>These instructions shall also apply, mutatis mutandis, to transactions done at Cash Recycler Machines (other than for cash deposit transactions).</w:t>
      </w:r>
    </w:p>
    <w:p w:rsidR="007E6C79" w:rsidRDefault="007E6C79" w:rsidP="007E6C79">
      <w:pPr>
        <w:pStyle w:val="NormalWeb"/>
        <w:shd w:val="clear" w:color="auto" w:fill="FFFFFF"/>
        <w:spacing w:before="0" w:beforeAutospacing="0" w:after="0" w:afterAutospacing="0"/>
        <w:jc w:val="both"/>
        <w:rPr>
          <w:color w:val="000000"/>
        </w:rPr>
      </w:pPr>
    </w:p>
    <w:p w:rsidR="007E6C79" w:rsidRPr="00C760EA" w:rsidRDefault="007E6C79" w:rsidP="007E6C79">
      <w:pPr>
        <w:pStyle w:val="NormalWeb"/>
        <w:shd w:val="clear" w:color="auto" w:fill="FFFFFF"/>
        <w:spacing w:before="0" w:beforeAutospacing="0" w:after="0" w:afterAutospacing="0"/>
        <w:jc w:val="both"/>
        <w:rPr>
          <w:color w:val="000000"/>
        </w:rPr>
      </w:pPr>
      <w:r w:rsidRPr="00C760EA">
        <w:rPr>
          <w:color w:val="000000"/>
        </w:rPr>
        <w:t>3. This directive is issued under Section 10(2) read with Section 18 of the Payment and Settlement Systems Act, 2007 (Act 51 of 2007).</w:t>
      </w:r>
    </w:p>
    <w:p w:rsidR="007E6C79" w:rsidRPr="00C760EA" w:rsidRDefault="007E6C79" w:rsidP="007E6C79">
      <w:pPr>
        <w:pStyle w:val="NormalWeb"/>
        <w:pBdr>
          <w:bottom w:val="single" w:sz="12" w:space="1" w:color="auto"/>
        </w:pBdr>
        <w:shd w:val="clear" w:color="auto" w:fill="FFFFFF"/>
        <w:spacing w:before="0" w:beforeAutospacing="0" w:after="0" w:afterAutospacing="0"/>
        <w:jc w:val="both"/>
        <w:rPr>
          <w:color w:val="000000"/>
        </w:rPr>
      </w:pPr>
    </w:p>
    <w:p w:rsidR="00B77E4A" w:rsidRPr="00C760EA" w:rsidRDefault="00B77E4A" w:rsidP="00B77E4A">
      <w:pPr>
        <w:pStyle w:val="NormalWeb"/>
        <w:shd w:val="clear" w:color="auto" w:fill="FFFFFF"/>
        <w:spacing w:before="0" w:beforeAutospacing="0" w:after="0" w:afterAutospacing="0"/>
        <w:jc w:val="both"/>
        <w:rPr>
          <w:b/>
          <w:bCs/>
          <w:color w:val="000000"/>
        </w:rPr>
      </w:pPr>
      <w:r>
        <w:rPr>
          <w:b/>
          <w:bCs/>
          <w:color w:val="000000"/>
        </w:rPr>
        <w:t xml:space="preserve">2. </w:t>
      </w:r>
      <w:r w:rsidRPr="00C760EA">
        <w:rPr>
          <w:b/>
          <w:bCs/>
          <w:color w:val="000000"/>
        </w:rPr>
        <w:t>Preservation of CCTV recordings</w:t>
      </w:r>
    </w:p>
    <w:p w:rsidR="00B77E4A" w:rsidRDefault="00B77E4A" w:rsidP="00B77E4A">
      <w:pPr>
        <w:pStyle w:val="NormalWeb"/>
        <w:shd w:val="clear" w:color="auto" w:fill="FFFFFF"/>
        <w:spacing w:before="0" w:beforeAutospacing="0" w:after="0" w:afterAutospacing="0"/>
        <w:jc w:val="both"/>
        <w:rPr>
          <w:color w:val="000000"/>
        </w:rPr>
      </w:pPr>
    </w:p>
    <w:p w:rsidR="00B77E4A" w:rsidRDefault="00B77E4A" w:rsidP="00B77E4A">
      <w:pPr>
        <w:pStyle w:val="NormalWeb"/>
        <w:shd w:val="clear" w:color="auto" w:fill="FFFFFF"/>
        <w:spacing w:before="0" w:beforeAutospacing="0" w:after="0" w:afterAutospacing="0"/>
        <w:jc w:val="both"/>
        <w:rPr>
          <w:b/>
          <w:color w:val="000000"/>
        </w:rPr>
      </w:pPr>
      <w:r w:rsidRPr="00762028">
        <w:rPr>
          <w:b/>
          <w:color w:val="000000"/>
        </w:rPr>
        <w:t xml:space="preserve">RBI/2021-22/51 DCM(Plg).No. 51961/10.27.00/2021-22 </w:t>
      </w:r>
      <w:r w:rsidRPr="00762028">
        <w:rPr>
          <w:b/>
          <w:color w:val="000000"/>
        </w:rPr>
        <w:tab/>
      </w:r>
      <w:r w:rsidRPr="00762028">
        <w:rPr>
          <w:b/>
          <w:color w:val="000000"/>
        </w:rPr>
        <w:tab/>
      </w:r>
      <w:r w:rsidRPr="00762028">
        <w:rPr>
          <w:b/>
          <w:color w:val="000000"/>
        </w:rPr>
        <w:tab/>
        <w:t>June 8, 2021</w:t>
      </w:r>
    </w:p>
    <w:p w:rsidR="00B77E4A" w:rsidRPr="00762028" w:rsidRDefault="00B77E4A" w:rsidP="00B77E4A">
      <w:pPr>
        <w:pStyle w:val="NormalWeb"/>
        <w:shd w:val="clear" w:color="auto" w:fill="FFFFFF"/>
        <w:spacing w:before="0" w:beforeAutospacing="0" w:after="0" w:afterAutospacing="0"/>
        <w:jc w:val="both"/>
        <w:rPr>
          <w:b/>
          <w:color w:val="000000"/>
        </w:rPr>
      </w:pPr>
    </w:p>
    <w:p w:rsidR="00B77E4A" w:rsidRPr="00762028" w:rsidRDefault="00B77E4A" w:rsidP="00B77E4A">
      <w:pPr>
        <w:pStyle w:val="NormalWeb"/>
        <w:shd w:val="clear" w:color="auto" w:fill="FFFFFF"/>
        <w:spacing w:before="0" w:beforeAutospacing="0" w:after="0" w:afterAutospacing="0"/>
        <w:jc w:val="both"/>
        <w:rPr>
          <w:i/>
          <w:color w:val="000000"/>
        </w:rPr>
      </w:pPr>
      <w:r w:rsidRPr="00762028">
        <w:rPr>
          <w:i/>
          <w:color w:val="000000"/>
        </w:rPr>
        <w:t>The Chairman &amp; Managing Director, Chief Executive Officers</w:t>
      </w:r>
      <w:r w:rsidRPr="00762028">
        <w:rPr>
          <w:i/>
          <w:color w:val="000000"/>
        </w:rPr>
        <w:br/>
        <w:t>All Banks</w:t>
      </w:r>
    </w:p>
    <w:p w:rsidR="00B77E4A" w:rsidRDefault="00B77E4A" w:rsidP="00B77E4A">
      <w:pPr>
        <w:pStyle w:val="NormalWeb"/>
        <w:shd w:val="clear" w:color="auto" w:fill="FFFFFF"/>
        <w:spacing w:before="0" w:beforeAutospacing="0" w:after="0" w:afterAutospacing="0"/>
        <w:jc w:val="both"/>
        <w:rPr>
          <w:color w:val="000000"/>
        </w:rPr>
      </w:pPr>
    </w:p>
    <w:p w:rsidR="00B77E4A" w:rsidRPr="00C760EA" w:rsidRDefault="00B77E4A" w:rsidP="00B77E4A">
      <w:pPr>
        <w:pStyle w:val="NormalWeb"/>
        <w:shd w:val="clear" w:color="auto" w:fill="FFFFFF"/>
        <w:spacing w:before="0" w:beforeAutospacing="0" w:after="0" w:afterAutospacing="0"/>
        <w:jc w:val="both"/>
        <w:rPr>
          <w:color w:val="000000"/>
        </w:rPr>
      </w:pPr>
      <w:r w:rsidRPr="00C760EA">
        <w:rPr>
          <w:color w:val="000000"/>
        </w:rPr>
        <w:t>Please refer to our </w:t>
      </w:r>
      <w:hyperlink r:id="rId7" w:tgtFrame="_blank" w:history="1">
        <w:r w:rsidRPr="00C760EA">
          <w:rPr>
            <w:rStyle w:val="Hyperlink"/>
          </w:rPr>
          <w:t>circular DCM (Plg) No. 1712/10.27.00/2016-17 dated December 13, 2016</w:t>
        </w:r>
      </w:hyperlink>
      <w:r w:rsidRPr="00C760EA">
        <w:rPr>
          <w:color w:val="000000"/>
        </w:rPr>
        <w:t> wherein the banks were advised to preserve the CCTV recordings of operations at bank branches and currency chests for the period from November 08, 2016 to December 30, 2016, until further instructions, to facilitate coordinated and effective action by the enforcement agencies in dealing with matters relating to illegal accumulation of new currency notes.</w:t>
      </w:r>
    </w:p>
    <w:p w:rsidR="00B77E4A" w:rsidRDefault="00B77E4A" w:rsidP="00B77E4A">
      <w:pPr>
        <w:pStyle w:val="NormalWeb"/>
        <w:pBdr>
          <w:bottom w:val="single" w:sz="12" w:space="1" w:color="auto"/>
        </w:pBdr>
        <w:shd w:val="clear" w:color="auto" w:fill="FFFFFF"/>
        <w:spacing w:before="0" w:beforeAutospacing="0" w:after="0" w:afterAutospacing="0"/>
        <w:jc w:val="both"/>
        <w:rPr>
          <w:color w:val="000000"/>
        </w:rPr>
      </w:pPr>
    </w:p>
    <w:p w:rsidR="00B77E4A" w:rsidRDefault="00B77E4A" w:rsidP="00B77E4A">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2. In continuation to the above, keeping in view the investigations pending with law enforcement agencies, proceedings pending at various courts, you are advised to preserve the CCTV recordings of operations at bank branches and currency chests for the period from November 08, 2016 to December 30, 2016 in a proper way, till further orders.</w:t>
      </w:r>
    </w:p>
    <w:p w:rsidR="00B77E4A" w:rsidRPr="00C760EA" w:rsidRDefault="00B77E4A" w:rsidP="00B77E4A">
      <w:pPr>
        <w:pStyle w:val="NormalWeb"/>
        <w:pBdr>
          <w:bottom w:val="single" w:sz="12" w:space="1" w:color="auto"/>
        </w:pBdr>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b/>
          <w:bCs/>
          <w:color w:val="000000"/>
        </w:rPr>
      </w:pPr>
      <w:r>
        <w:rPr>
          <w:b/>
          <w:bCs/>
          <w:color w:val="000000"/>
        </w:rPr>
        <w:t xml:space="preserve">3. </w:t>
      </w:r>
      <w:r w:rsidRPr="00BE0E8C">
        <w:rPr>
          <w:b/>
          <w:bCs/>
          <w:color w:val="000000"/>
        </w:rPr>
        <w:t>Customer Due Diligence for transactions in Virtual Currencies (VC)</w:t>
      </w:r>
    </w:p>
    <w:p w:rsidR="00A9427F" w:rsidRDefault="00A9427F" w:rsidP="00A9427F">
      <w:pPr>
        <w:pStyle w:val="NormalWeb"/>
        <w:shd w:val="clear" w:color="auto" w:fill="FFFFFF"/>
        <w:spacing w:before="0" w:beforeAutospacing="0" w:after="0" w:afterAutospacing="0"/>
        <w:jc w:val="both"/>
        <w:rPr>
          <w:color w:val="000000"/>
        </w:rPr>
      </w:pPr>
    </w:p>
    <w:p w:rsidR="00A9427F" w:rsidRPr="00675F53" w:rsidRDefault="00A9427F" w:rsidP="00A9427F">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A9427F" w:rsidRDefault="00A9427F" w:rsidP="00A9427F">
      <w:pPr>
        <w:pStyle w:val="NormalWeb"/>
        <w:shd w:val="clear" w:color="auto" w:fill="FFFFFF"/>
        <w:spacing w:before="0" w:beforeAutospacing="0" w:after="0" w:afterAutospacing="0"/>
        <w:jc w:val="both"/>
        <w:rPr>
          <w:color w:val="000000"/>
        </w:rPr>
      </w:pPr>
    </w:p>
    <w:p w:rsidR="00A9427F" w:rsidRPr="00675F53" w:rsidRDefault="00A9427F" w:rsidP="00A9427F">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8" w:tgtFrame="_blank" w:history="1">
        <w:r w:rsidRPr="00BE0E8C">
          <w:rPr>
            <w:rStyle w:val="Hyperlink"/>
          </w:rPr>
          <w:t>RBI circular DBR.No.BP.BC.104/08.13.102/2017-18 dated April 06, 2018</w:t>
        </w:r>
      </w:hyperlink>
      <w:r w:rsidRPr="00BE0E8C">
        <w:rPr>
          <w:color w:val="000000"/>
        </w:rPr>
        <w:t>. Such references to the above circular by banks/ regulated entities are not in order as this  circular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A9427F" w:rsidRDefault="00A9427F" w:rsidP="00A9427F">
      <w:pPr>
        <w:pStyle w:val="NormalWeb"/>
        <w:pBdr>
          <w:bottom w:val="single" w:sz="12" w:space="1" w:color="auto"/>
        </w:pBdr>
        <w:shd w:val="clear" w:color="auto" w:fill="FFFFFF"/>
        <w:spacing w:before="0" w:beforeAutospacing="0" w:after="0" w:afterAutospacing="0"/>
        <w:jc w:val="both"/>
        <w:rPr>
          <w:color w:val="000000"/>
        </w:rPr>
      </w:pPr>
    </w:p>
    <w:p w:rsidR="00A9427F" w:rsidRDefault="00A9427F" w:rsidP="00A9427F">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A9427F" w:rsidRPr="00BE0E8C" w:rsidRDefault="00A9427F" w:rsidP="00A9427F">
      <w:pPr>
        <w:pStyle w:val="NormalWeb"/>
        <w:pBdr>
          <w:bottom w:val="single" w:sz="12" w:space="1" w:color="auto"/>
        </w:pBdr>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bCs/>
          <w:color w:val="000000"/>
        </w:rPr>
      </w:pPr>
    </w:p>
    <w:p w:rsidR="00A9427F" w:rsidRDefault="00A9427F" w:rsidP="00A9427F">
      <w:pPr>
        <w:pStyle w:val="NormalWeb"/>
        <w:shd w:val="clear" w:color="auto" w:fill="FFFFFF"/>
        <w:spacing w:before="0" w:beforeAutospacing="0" w:after="0" w:afterAutospacing="0"/>
        <w:jc w:val="both"/>
        <w:rPr>
          <w:b/>
          <w:bCs/>
          <w:color w:val="000000"/>
        </w:rPr>
      </w:pPr>
      <w:r>
        <w:rPr>
          <w:b/>
          <w:bCs/>
          <w:color w:val="000000"/>
        </w:rPr>
        <w:t xml:space="preserve">4. </w:t>
      </w:r>
      <w:r w:rsidRPr="00BE0E8C">
        <w:rPr>
          <w:b/>
          <w:bCs/>
          <w:color w:val="000000"/>
        </w:rPr>
        <w:t>Prepaid Payment Instruments (PPIs) – (i) Mandating Interoperability; (ii) Increasing the Limit to ₹2 lakh for Full-KYC PPIs; and (iii) Permitting Cash Withdrawal from Full-KYC PPIs of Non-Bank PPI Issuers</w:t>
      </w:r>
    </w:p>
    <w:p w:rsidR="00A9427F" w:rsidRPr="00BE0E8C" w:rsidRDefault="00A9427F" w:rsidP="00A9427F">
      <w:pPr>
        <w:pStyle w:val="NormalWeb"/>
        <w:shd w:val="clear" w:color="auto" w:fill="FFFFFF"/>
        <w:spacing w:before="0" w:beforeAutospacing="0" w:after="0" w:afterAutospacing="0"/>
        <w:jc w:val="both"/>
        <w:rPr>
          <w:b/>
          <w:bCs/>
          <w:color w:val="000000"/>
        </w:rPr>
      </w:pPr>
    </w:p>
    <w:p w:rsidR="00A9427F" w:rsidRPr="00BE0E8C" w:rsidRDefault="00A9427F" w:rsidP="00A9427F">
      <w:pPr>
        <w:pStyle w:val="NormalWeb"/>
        <w:shd w:val="clear" w:color="auto" w:fill="FFFFFF"/>
        <w:spacing w:before="0" w:beforeAutospacing="0" w:after="0" w:afterAutospacing="0"/>
        <w:jc w:val="both"/>
        <w:rPr>
          <w:b/>
          <w:color w:val="000000"/>
        </w:rPr>
      </w:pPr>
      <w:r w:rsidRPr="00BE0E8C">
        <w:rPr>
          <w:b/>
          <w:color w:val="000000"/>
        </w:rPr>
        <w:t xml:space="preserve">RBI/2021-22/40 DPSS.CO.PD.No.S-99/02.14.006/2021-22 </w:t>
      </w:r>
      <w:r w:rsidRPr="00BE0E8C">
        <w:rPr>
          <w:b/>
          <w:color w:val="000000"/>
        </w:rPr>
        <w:tab/>
      </w:r>
      <w:r w:rsidRPr="00BE0E8C">
        <w:rPr>
          <w:b/>
          <w:color w:val="000000"/>
        </w:rPr>
        <w:tab/>
        <w:t>May 19, 2021</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9"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10"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11" w:tgtFrame="_blank" w:history="1">
        <w:r w:rsidRPr="00BE0E8C">
          <w:rPr>
            <w:rStyle w:val="Hyperlink"/>
          </w:rPr>
          <w:t>Circular DPSS.CO.PD.No.808/02.14.006/2018-19 dated October 16, 2018</w:t>
        </w:r>
      </w:hyperlink>
      <w:r w:rsidRPr="00BE0E8C">
        <w:rPr>
          <w:color w:val="000000"/>
        </w:rPr>
        <w:t> on PPIs – Guidelines for Interoperability.</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A9427F" w:rsidRPr="00BE0E8C" w:rsidRDefault="00A9427F" w:rsidP="00A9427F">
      <w:pPr>
        <w:pStyle w:val="NormalWeb"/>
        <w:numPr>
          <w:ilvl w:val="0"/>
          <w:numId w:val="2"/>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A9427F" w:rsidRPr="00BE0E8C" w:rsidRDefault="00A9427F" w:rsidP="00A9427F">
      <w:pPr>
        <w:pStyle w:val="NormalWeb"/>
        <w:numPr>
          <w:ilvl w:val="0"/>
          <w:numId w:val="2"/>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A9427F" w:rsidRPr="00BE0E8C" w:rsidRDefault="00A9427F" w:rsidP="00A9427F">
      <w:pPr>
        <w:pStyle w:val="NormalWeb"/>
        <w:numPr>
          <w:ilvl w:val="0"/>
          <w:numId w:val="2"/>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A9427F" w:rsidRPr="00BE0E8C" w:rsidRDefault="00A9427F" w:rsidP="00A9427F">
      <w:pPr>
        <w:pStyle w:val="NormalWeb"/>
        <w:numPr>
          <w:ilvl w:val="0"/>
          <w:numId w:val="2"/>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sidRPr="00BE0E8C">
        <w:rPr>
          <w:color w:val="000000"/>
        </w:rPr>
        <w:t>4. The maximum amount outstanding in respect of full-KYC PPIs (KYC-compliant PPIs) has been increased from ₹1 lakh to ₹2 lakh. All other conditions mentioned under paragraphs 9.1 (ii) and 9.2 of the </w:t>
      </w:r>
      <w:hyperlink r:id="rId12" w:tgtFrame="_blank" w:history="1">
        <w:r w:rsidRPr="00BE0E8C">
          <w:rPr>
            <w:rStyle w:val="Hyperlink"/>
          </w:rPr>
          <w:t>Master Direction on PPIs dated October 11, 2017</w:t>
        </w:r>
      </w:hyperlink>
      <w:r w:rsidRPr="00BE0E8C">
        <w:rPr>
          <w:color w:val="000000"/>
        </w:rPr>
        <w:t> shall continue to be applicable.</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A9427F" w:rsidRPr="00BE0E8C" w:rsidRDefault="00A9427F" w:rsidP="00A9427F">
      <w:pPr>
        <w:pStyle w:val="NormalWeb"/>
        <w:numPr>
          <w:ilvl w:val="0"/>
          <w:numId w:val="3"/>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A9427F" w:rsidRPr="00BE0E8C" w:rsidRDefault="00A9427F" w:rsidP="00A9427F">
      <w:pPr>
        <w:pStyle w:val="NormalWeb"/>
        <w:numPr>
          <w:ilvl w:val="0"/>
          <w:numId w:val="3"/>
        </w:numPr>
        <w:shd w:val="clear" w:color="auto" w:fill="FFFFFF"/>
        <w:spacing w:before="0" w:beforeAutospacing="0" w:after="0" w:afterAutospacing="0"/>
        <w:jc w:val="both"/>
        <w:rPr>
          <w:color w:val="000000"/>
        </w:rPr>
      </w:pPr>
      <w:r w:rsidRPr="00BE0E8C">
        <w:rPr>
          <w:color w:val="000000"/>
        </w:rPr>
        <w:lastRenderedPageBreak/>
        <w:t>All cash withdrawal transactions performed using a card / wallet, shall be authenticated by an Additional Factor of Authentication (AFA) / PIN;</w:t>
      </w:r>
    </w:p>
    <w:p w:rsidR="00A9427F" w:rsidRPr="00BE0E8C" w:rsidRDefault="00A9427F" w:rsidP="00A9427F">
      <w:pPr>
        <w:pStyle w:val="NormalWeb"/>
        <w:numPr>
          <w:ilvl w:val="0"/>
          <w:numId w:val="3"/>
        </w:numPr>
        <w:shd w:val="clear" w:color="auto" w:fill="FFFFFF"/>
        <w:spacing w:before="0" w:beforeAutospacing="0" w:after="0" w:afterAutospacing="0"/>
        <w:jc w:val="both"/>
        <w:rPr>
          <w:color w:val="000000"/>
        </w:rPr>
      </w:pPr>
      <w:r w:rsidRPr="00BE0E8C">
        <w:rPr>
          <w:color w:val="000000"/>
        </w:rPr>
        <w:t>Any PPI issuer offering this facility shall put in place proper customer redressal mechanisms. Complaints in this regard shall fall under the ambit of the respective ombudsmen schemes and instructions on limiting liability of customers; and</w:t>
      </w:r>
    </w:p>
    <w:p w:rsidR="00A9427F" w:rsidRPr="00BE0E8C" w:rsidRDefault="00A9427F" w:rsidP="00A9427F">
      <w:pPr>
        <w:pStyle w:val="NormalWeb"/>
        <w:numPr>
          <w:ilvl w:val="0"/>
          <w:numId w:val="3"/>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(PoS) terminals using debit cards and open system prepaid cards issued by banks in India advised vide </w:t>
      </w:r>
      <w:hyperlink r:id="rId13"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14"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A9427F" w:rsidRDefault="00A9427F" w:rsidP="00A9427F">
      <w:pPr>
        <w:pStyle w:val="NormalWeb"/>
        <w:shd w:val="clear" w:color="auto" w:fill="FFFFFF"/>
        <w:spacing w:before="0" w:beforeAutospacing="0" w:after="0" w:afterAutospacing="0"/>
        <w:jc w:val="both"/>
        <w:rPr>
          <w:color w:val="000000"/>
        </w:rPr>
      </w:pPr>
    </w:p>
    <w:p w:rsidR="00A9427F" w:rsidRPr="00BE0E8C" w:rsidRDefault="00A9427F" w:rsidP="00A9427F">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A9427F" w:rsidRDefault="00A9427F" w:rsidP="00A9427F">
      <w:pPr>
        <w:pStyle w:val="NormalWeb"/>
        <w:pBdr>
          <w:bottom w:val="single" w:sz="12" w:space="1" w:color="auto"/>
        </w:pBdr>
        <w:shd w:val="clear" w:color="auto" w:fill="FFFFFF"/>
        <w:spacing w:before="0" w:beforeAutospacing="0" w:after="0" w:afterAutospacing="0"/>
        <w:jc w:val="both"/>
        <w:rPr>
          <w:bCs/>
          <w:color w:val="000000"/>
        </w:rPr>
      </w:pPr>
    </w:p>
    <w:p w:rsidR="00A9427F" w:rsidRDefault="008A2E1D" w:rsidP="00A9427F">
      <w:pPr>
        <w:pStyle w:val="NormalWeb"/>
        <w:pBdr>
          <w:bottom w:val="single" w:sz="12" w:space="1" w:color="auto"/>
        </w:pBdr>
        <w:shd w:val="clear" w:color="auto" w:fill="FFFFFF"/>
        <w:spacing w:before="0" w:beforeAutospacing="0" w:after="0" w:afterAutospacing="0"/>
        <w:jc w:val="both"/>
        <w:rPr>
          <w:rStyle w:val="Hyperlink"/>
          <w:bCs/>
        </w:rPr>
      </w:pPr>
      <w:hyperlink r:id="rId15" w:history="1">
        <w:r w:rsidR="00A9427F" w:rsidRPr="00BE0E8C">
          <w:rPr>
            <w:rStyle w:val="Hyperlink"/>
            <w:bCs/>
          </w:rPr>
          <w:t>https://www.rbi.org.in/Scripts/NotificationUser.aspx?Id=12094&amp;Mode=0</w:t>
        </w:r>
      </w:hyperlink>
    </w:p>
    <w:p w:rsidR="00A9427F" w:rsidRPr="00BE0E8C" w:rsidRDefault="00A9427F" w:rsidP="00A9427F">
      <w:pPr>
        <w:pStyle w:val="NormalWeb"/>
        <w:pBdr>
          <w:bottom w:val="single" w:sz="12" w:space="1" w:color="auto"/>
        </w:pBdr>
        <w:shd w:val="clear" w:color="auto" w:fill="FFFFFF"/>
        <w:spacing w:before="0" w:beforeAutospacing="0" w:after="0" w:afterAutospacing="0"/>
        <w:jc w:val="both"/>
        <w:rPr>
          <w:bCs/>
          <w:color w:val="000000"/>
        </w:rPr>
      </w:pPr>
    </w:p>
    <w:p w:rsidR="00A9427F" w:rsidRDefault="00A9427F" w:rsidP="00A9427F">
      <w:pPr>
        <w:pStyle w:val="NormalWeb"/>
        <w:shd w:val="clear" w:color="auto" w:fill="FFFFFF"/>
        <w:spacing w:before="0" w:beforeAutospacing="0" w:after="0" w:afterAutospacing="0"/>
        <w:jc w:val="both"/>
        <w:rPr>
          <w:b/>
          <w:bCs/>
          <w:color w:val="000000"/>
        </w:rPr>
      </w:pPr>
    </w:p>
    <w:p w:rsidR="00C87A02" w:rsidRPr="00BE0E8C" w:rsidRDefault="00C87A02" w:rsidP="00C87A02">
      <w:pPr>
        <w:pStyle w:val="NormalWeb"/>
        <w:shd w:val="clear" w:color="auto" w:fill="FFFFFF"/>
        <w:spacing w:before="0" w:beforeAutospacing="0" w:after="0" w:afterAutospacing="0"/>
        <w:jc w:val="both"/>
        <w:rPr>
          <w:b/>
          <w:bCs/>
          <w:color w:val="000000"/>
        </w:rPr>
      </w:pPr>
      <w:r>
        <w:rPr>
          <w:b/>
          <w:bCs/>
          <w:color w:val="000000"/>
        </w:rPr>
        <w:t xml:space="preserve">5. </w:t>
      </w:r>
      <w:r w:rsidRPr="00BE0E8C">
        <w:rPr>
          <w:b/>
          <w:bCs/>
          <w:color w:val="000000"/>
        </w:rPr>
        <w:t>Framework for processing of e-mandates for recurring online transactions</w:t>
      </w:r>
    </w:p>
    <w:p w:rsidR="00C87A02" w:rsidRPr="00BE0E8C" w:rsidRDefault="00C87A02" w:rsidP="00C87A02">
      <w:pPr>
        <w:pStyle w:val="NormalWeb"/>
        <w:shd w:val="clear" w:color="auto" w:fill="FFFFFF"/>
        <w:spacing w:before="0" w:beforeAutospacing="0" w:after="0" w:afterAutospacing="0"/>
        <w:jc w:val="both"/>
        <w:rPr>
          <w:b/>
          <w:color w:val="000000"/>
        </w:rPr>
      </w:pPr>
    </w:p>
    <w:p w:rsidR="00C87A02" w:rsidRPr="00BE0E8C" w:rsidRDefault="00C87A02" w:rsidP="00C87A02">
      <w:pPr>
        <w:pStyle w:val="NormalWeb"/>
        <w:shd w:val="clear" w:color="auto" w:fill="FFFFFF"/>
        <w:spacing w:before="0" w:beforeAutospacing="0" w:after="0" w:afterAutospacing="0"/>
        <w:jc w:val="both"/>
        <w:rPr>
          <w:b/>
          <w:color w:val="000000"/>
        </w:rPr>
      </w:pPr>
      <w:r w:rsidRPr="00BE0E8C">
        <w:rPr>
          <w:b/>
          <w:color w:val="000000"/>
        </w:rPr>
        <w:t xml:space="preserve">RBI/2020-21/118 CO.DPSS.POLC.No.S34/02-14-003/2020-2021 </w:t>
      </w:r>
      <w:r w:rsidRPr="00BE0E8C">
        <w:rPr>
          <w:b/>
          <w:color w:val="000000"/>
        </w:rPr>
        <w:tab/>
        <w:t>March 31, 2021</w:t>
      </w:r>
    </w:p>
    <w:p w:rsidR="00C87A02" w:rsidRPr="00BE0E8C" w:rsidRDefault="00C87A02" w:rsidP="00C87A02">
      <w:pPr>
        <w:pStyle w:val="NormalWeb"/>
        <w:shd w:val="clear" w:color="auto" w:fill="FFFFFF"/>
        <w:spacing w:before="0" w:beforeAutospacing="0" w:after="0" w:afterAutospacing="0"/>
        <w:jc w:val="both"/>
        <w:rPr>
          <w:color w:val="000000"/>
        </w:rPr>
      </w:pPr>
    </w:p>
    <w:p w:rsidR="00C87A02" w:rsidRPr="00BE0E8C" w:rsidRDefault="00C87A02" w:rsidP="00C87A02">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Scheduled Commercial Banks, including Regional Rural Banks /Urban Co-operative Banks / State Co-operative Banks /District Central Co-operative Banks / Payments Banks /Small Finance Banks / Local Area Banks / Card Payment Networks /Non-bank Prepaid Payment Instrument Issuers /National Payments Corporation of India</w:t>
      </w:r>
    </w:p>
    <w:p w:rsidR="00C87A02" w:rsidRPr="00BE0E8C" w:rsidRDefault="00C87A02" w:rsidP="00C87A02">
      <w:pPr>
        <w:pStyle w:val="NormalWeb"/>
        <w:shd w:val="clear" w:color="auto" w:fill="FFFFFF"/>
        <w:spacing w:before="0" w:beforeAutospacing="0" w:after="0" w:afterAutospacing="0"/>
        <w:jc w:val="both"/>
        <w:rPr>
          <w:color w:val="000000"/>
        </w:rPr>
      </w:pPr>
    </w:p>
    <w:p w:rsidR="00C87A02" w:rsidRPr="00BE0E8C" w:rsidRDefault="00C87A02" w:rsidP="00C87A02">
      <w:pPr>
        <w:pStyle w:val="NormalWeb"/>
        <w:shd w:val="clear" w:color="auto" w:fill="FFFFFF"/>
        <w:spacing w:before="0" w:beforeAutospacing="0" w:after="0" w:afterAutospacing="0"/>
        <w:jc w:val="both"/>
        <w:rPr>
          <w:color w:val="000000"/>
        </w:rPr>
      </w:pPr>
      <w:r w:rsidRPr="00BE0E8C">
        <w:rPr>
          <w:color w:val="000000"/>
        </w:rPr>
        <w:t>A reference is invited to our </w:t>
      </w:r>
      <w:hyperlink r:id="rId16" w:tgtFrame="_blank" w:history="1">
        <w:r w:rsidRPr="00BE0E8C">
          <w:rPr>
            <w:rStyle w:val="Hyperlink"/>
          </w:rPr>
          <w:t>circulars DPSS.CO.PD.No.447/02.14.003/2019-20 dated August 21, 2019</w:t>
        </w:r>
      </w:hyperlink>
      <w:r w:rsidRPr="00BE0E8C">
        <w:rPr>
          <w:color w:val="000000"/>
        </w:rPr>
        <w:t>, </w:t>
      </w:r>
      <w:hyperlink r:id="rId17" w:tgtFrame="_blank" w:history="1">
        <w:r w:rsidRPr="00BE0E8C">
          <w:rPr>
            <w:rStyle w:val="Hyperlink"/>
          </w:rPr>
          <w:t>DPSS.CO.PD.No.1324/02.23.001/2019-20 dated January 10, 2020</w:t>
        </w:r>
      </w:hyperlink>
      <w:r w:rsidRPr="00BE0E8C">
        <w:rPr>
          <w:color w:val="000000"/>
        </w:rPr>
        <w:t> and </w:t>
      </w:r>
      <w:hyperlink r:id="rId18" w:tgtFrame="_blank" w:history="1">
        <w:r w:rsidRPr="00BE0E8C">
          <w:rPr>
            <w:rStyle w:val="Hyperlink"/>
          </w:rPr>
          <w:t>DPSS.CO.PD.No.754/02.14.003/2020-21 dated December 4, 2020</w:t>
        </w:r>
      </w:hyperlink>
      <w:r w:rsidRPr="00BE0E8C">
        <w:rPr>
          <w:color w:val="000000"/>
        </w:rPr>
        <w:t>, wherein the framework for registering e-mandates for recurring online transactions using cards / wallets / Unified Payments Interface was put in place. The framework had ensured that changing payment needs of customers were accommodated by adequately balancing safety, security and convenience of such transactions. Stakeholders were given sufficient time to complete the process of migration to the framework by March 31, 2021.</w:t>
      </w:r>
    </w:p>
    <w:p w:rsidR="00C87A02" w:rsidRPr="00BE0E8C" w:rsidRDefault="00C87A02" w:rsidP="00C87A02">
      <w:pPr>
        <w:pStyle w:val="NormalWeb"/>
        <w:shd w:val="clear" w:color="auto" w:fill="FFFFFF"/>
        <w:spacing w:before="0" w:beforeAutospacing="0" w:after="0" w:afterAutospacing="0"/>
        <w:jc w:val="both"/>
        <w:rPr>
          <w:color w:val="000000"/>
        </w:rPr>
      </w:pPr>
    </w:p>
    <w:p w:rsidR="00C87A02" w:rsidRPr="00BE0E8C" w:rsidRDefault="00C87A02" w:rsidP="00C87A02">
      <w:pPr>
        <w:pStyle w:val="NormalWeb"/>
        <w:shd w:val="clear" w:color="auto" w:fill="FFFFFF"/>
        <w:spacing w:before="0" w:beforeAutospacing="0" w:after="0" w:afterAutospacing="0"/>
        <w:jc w:val="both"/>
        <w:rPr>
          <w:color w:val="000000"/>
        </w:rPr>
      </w:pPr>
      <w:r w:rsidRPr="00BE0E8C">
        <w:rPr>
          <w:color w:val="000000"/>
        </w:rPr>
        <w:t xml:space="preserve">2. It is, however, noted that the progress of onboarding existing as well as new mandates of customers as per the framework is not satisfactory. Keeping in view the requests of some stakeholders and to prevent any inconvenience to customers, it has been decided, as a one-time </w:t>
      </w:r>
      <w:r w:rsidRPr="00BE0E8C">
        <w:rPr>
          <w:color w:val="000000"/>
        </w:rPr>
        <w:lastRenderedPageBreak/>
        <w:t>measure, to extend the timeline for ensuring full compliance to the framework till September 30, 2021. During the extended timeline, no new mandate for recurring online transactions shall be registered by stakeholders, unless such mandates are compliant with the framework.</w:t>
      </w:r>
    </w:p>
    <w:p w:rsidR="00C87A02" w:rsidRPr="00BE0E8C" w:rsidRDefault="00C87A02" w:rsidP="00C87A02">
      <w:pPr>
        <w:pStyle w:val="NormalWeb"/>
        <w:shd w:val="clear" w:color="auto" w:fill="FFFFFF"/>
        <w:spacing w:before="0" w:beforeAutospacing="0" w:after="0" w:afterAutospacing="0"/>
        <w:jc w:val="both"/>
        <w:rPr>
          <w:color w:val="000000"/>
        </w:rPr>
      </w:pPr>
    </w:p>
    <w:p w:rsidR="00C87A02" w:rsidRPr="00BE0E8C" w:rsidRDefault="00C87A02" w:rsidP="00C87A02">
      <w:pPr>
        <w:pStyle w:val="NormalWeb"/>
        <w:shd w:val="clear" w:color="auto" w:fill="FFFFFF"/>
        <w:spacing w:before="0" w:beforeAutospacing="0" w:after="0" w:afterAutospacing="0"/>
        <w:jc w:val="both"/>
        <w:rPr>
          <w:color w:val="000000"/>
        </w:rPr>
      </w:pPr>
      <w:r w:rsidRPr="00BE0E8C">
        <w:rPr>
          <w:color w:val="000000"/>
        </w:rPr>
        <w:t>3. Any further delay in ensuring complete adherence to the framework beyond the extended timeline will attract stringent supervisory action.</w:t>
      </w:r>
    </w:p>
    <w:p w:rsidR="00C87A02" w:rsidRPr="00BE0E8C" w:rsidRDefault="00C87A02" w:rsidP="00C87A02">
      <w:pPr>
        <w:pStyle w:val="NormalWeb"/>
        <w:shd w:val="clear" w:color="auto" w:fill="FFFFFF"/>
        <w:spacing w:before="0" w:beforeAutospacing="0" w:after="0" w:afterAutospacing="0"/>
        <w:jc w:val="both"/>
        <w:rPr>
          <w:color w:val="000000"/>
        </w:rPr>
      </w:pPr>
    </w:p>
    <w:p w:rsidR="00C87A02" w:rsidRPr="00BE0E8C" w:rsidRDefault="00C87A02" w:rsidP="00C87A02">
      <w:pPr>
        <w:pStyle w:val="NormalWeb"/>
        <w:shd w:val="clear" w:color="auto" w:fill="FFFFFF"/>
        <w:spacing w:before="0" w:beforeAutospacing="0" w:after="0" w:afterAutospacing="0"/>
        <w:jc w:val="both"/>
        <w:rPr>
          <w:color w:val="000000"/>
        </w:rPr>
      </w:pPr>
      <w:r w:rsidRPr="00BE0E8C">
        <w:rPr>
          <w:color w:val="000000"/>
        </w:rPr>
        <w:t>4. This directive is issued under Section 10(2) read with Section 18 of the Payment and Settlement Systems Act, 2007 (Act 51 of 2007).</w:t>
      </w:r>
    </w:p>
    <w:p w:rsidR="00C87A02" w:rsidRPr="00BE0E8C" w:rsidRDefault="00C87A02" w:rsidP="00C87A02">
      <w:pPr>
        <w:pStyle w:val="NormalWeb"/>
        <w:pBdr>
          <w:bottom w:val="single" w:sz="12" w:space="1" w:color="auto"/>
        </w:pBdr>
        <w:shd w:val="clear" w:color="auto" w:fill="FFFFFF"/>
        <w:spacing w:before="0" w:beforeAutospacing="0" w:after="0" w:afterAutospacing="0"/>
        <w:jc w:val="both"/>
        <w:rPr>
          <w:color w:val="000000"/>
        </w:rPr>
      </w:pPr>
    </w:p>
    <w:p w:rsidR="0086113C" w:rsidRPr="00BE0E8C" w:rsidRDefault="0086113C" w:rsidP="0086113C">
      <w:pPr>
        <w:pStyle w:val="NormalWeb"/>
        <w:shd w:val="clear" w:color="auto" w:fill="FFFFFF"/>
        <w:spacing w:before="0" w:beforeAutospacing="0" w:after="0" w:afterAutospacing="0"/>
        <w:jc w:val="both"/>
        <w:rPr>
          <w:b/>
          <w:bCs/>
          <w:color w:val="000000"/>
        </w:rPr>
      </w:pPr>
      <w:r>
        <w:rPr>
          <w:b/>
          <w:bCs/>
          <w:color w:val="000000"/>
        </w:rPr>
        <w:t xml:space="preserve">6. </w:t>
      </w:r>
      <w:r w:rsidRPr="00BE0E8C">
        <w:rPr>
          <w:b/>
          <w:bCs/>
          <w:color w:val="000000"/>
        </w:rPr>
        <w:t>Guidelines on Regulation of Payment Aggregators and Payment Gateways</w:t>
      </w:r>
    </w:p>
    <w:p w:rsidR="0086113C" w:rsidRPr="00BE0E8C" w:rsidRDefault="0086113C" w:rsidP="0086113C">
      <w:pPr>
        <w:pStyle w:val="NormalWeb"/>
        <w:shd w:val="clear" w:color="auto" w:fill="FFFFFF"/>
        <w:spacing w:before="0" w:beforeAutospacing="0" w:after="0" w:afterAutospacing="0"/>
        <w:jc w:val="both"/>
        <w:rPr>
          <w:b/>
          <w:color w:val="000000"/>
        </w:rPr>
      </w:pPr>
    </w:p>
    <w:p w:rsidR="0086113C" w:rsidRPr="00BE0E8C" w:rsidRDefault="0086113C" w:rsidP="0086113C">
      <w:pPr>
        <w:pStyle w:val="NormalWeb"/>
        <w:shd w:val="clear" w:color="auto" w:fill="FFFFFF"/>
        <w:spacing w:before="0" w:beforeAutospacing="0" w:after="0" w:afterAutospacing="0"/>
        <w:jc w:val="both"/>
        <w:rPr>
          <w:b/>
          <w:color w:val="000000"/>
        </w:rPr>
      </w:pPr>
      <w:r w:rsidRPr="00BE0E8C">
        <w:rPr>
          <w:b/>
          <w:color w:val="000000"/>
        </w:rPr>
        <w:t>RBI/2020-21/117 CO.DPSS.POLC.No.S33/02-14-008/2020-2021</w:t>
      </w:r>
      <w:r w:rsidRPr="00BE0E8C">
        <w:rPr>
          <w:b/>
          <w:color w:val="000000"/>
        </w:rPr>
        <w:tab/>
      </w:r>
      <w:r w:rsidRPr="00BE0E8C">
        <w:rPr>
          <w:b/>
          <w:color w:val="000000"/>
        </w:rPr>
        <w:tab/>
        <w:t>March 31, 2021</w:t>
      </w:r>
    </w:p>
    <w:p w:rsidR="0086113C" w:rsidRPr="00BE0E8C" w:rsidRDefault="0086113C" w:rsidP="0086113C">
      <w:pPr>
        <w:pStyle w:val="NormalWeb"/>
        <w:shd w:val="clear" w:color="auto" w:fill="FFFFFF"/>
        <w:spacing w:before="0" w:beforeAutospacing="0" w:after="0" w:afterAutospacing="0"/>
        <w:jc w:val="both"/>
        <w:rPr>
          <w:i/>
          <w:color w:val="000000"/>
        </w:rPr>
      </w:pPr>
    </w:p>
    <w:p w:rsidR="0086113C" w:rsidRPr="00BE0E8C" w:rsidRDefault="0086113C" w:rsidP="0086113C">
      <w:pPr>
        <w:pStyle w:val="NormalWeb"/>
        <w:shd w:val="clear" w:color="auto" w:fill="FFFFFF"/>
        <w:spacing w:before="0" w:beforeAutospacing="0" w:after="0" w:afterAutospacing="0"/>
        <w:jc w:val="both"/>
        <w:rPr>
          <w:i/>
          <w:color w:val="000000"/>
        </w:rPr>
      </w:pPr>
      <w:r w:rsidRPr="00BE0E8C">
        <w:rPr>
          <w:i/>
          <w:color w:val="000000"/>
        </w:rPr>
        <w:t>All Payment System Providers and Payment System Participants</w:t>
      </w:r>
    </w:p>
    <w:p w:rsidR="0086113C" w:rsidRPr="00BE0E8C" w:rsidRDefault="0086113C" w:rsidP="0086113C">
      <w:pPr>
        <w:pStyle w:val="NormalWeb"/>
        <w:shd w:val="clear" w:color="auto" w:fill="FFFFFF"/>
        <w:spacing w:before="0" w:beforeAutospacing="0" w:after="0" w:afterAutospacing="0"/>
        <w:jc w:val="both"/>
        <w:rPr>
          <w:color w:val="000000"/>
        </w:rPr>
      </w:pP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We invite a reference to our </w:t>
      </w:r>
      <w:hyperlink r:id="rId19" w:tgtFrame="_blank" w:history="1">
        <w:r w:rsidRPr="00BE0E8C">
          <w:rPr>
            <w:rStyle w:val="Hyperlink"/>
          </w:rPr>
          <w:t>circular DPSS.CO.PD.No.1810/02.14.008/2019-20 dated March 17, 2020</w:t>
        </w:r>
      </w:hyperlink>
      <w:r w:rsidRPr="00BE0E8C">
        <w:rPr>
          <w:color w:val="000000"/>
        </w:rPr>
        <w:t> (as updated from time to time) and the clarification dated September 17, 2020 issued on the subject (</w:t>
      </w:r>
      <w:hyperlink r:id="rId20" w:anchor="ANN1" w:history="1">
        <w:r w:rsidRPr="00BE0E8C">
          <w:rPr>
            <w:rStyle w:val="Hyperlink"/>
          </w:rPr>
          <w:t>Annex</w:t>
        </w:r>
      </w:hyperlink>
      <w:r w:rsidRPr="00BE0E8C">
        <w:rPr>
          <w:color w:val="000000"/>
        </w:rPr>
        <w:t>). Accordingly, neither the authorised Payment Aggregators (PAs) nor the merchants on-boarded by them can store customer card credentials within their database or server.</w:t>
      </w:r>
    </w:p>
    <w:p w:rsidR="0086113C" w:rsidRPr="00BE0E8C" w:rsidRDefault="0086113C" w:rsidP="0086113C">
      <w:pPr>
        <w:pStyle w:val="NormalWeb"/>
        <w:shd w:val="clear" w:color="auto" w:fill="FFFFFF"/>
        <w:spacing w:before="0" w:beforeAutospacing="0" w:after="0" w:afterAutospacing="0"/>
        <w:jc w:val="both"/>
        <w:rPr>
          <w:color w:val="000000"/>
        </w:rPr>
      </w:pP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2. Based on the representations received from the industry seeking additional time for implementing the above instructions, it has been decided, as a one-time measure, to extend the timeline for non-bank PAs by six months, i.e., till December 31, 2021, to enable the payment system providers and participants to put in place workable solutions, such as tokenisation, within the framework set out in the </w:t>
      </w:r>
      <w:hyperlink r:id="rId21" w:tgtFrame="_blank" w:history="1">
        <w:r w:rsidRPr="00BE0E8C">
          <w:rPr>
            <w:rStyle w:val="Hyperlink"/>
          </w:rPr>
          <w:t>circular dated March 17, 2020</w:t>
        </w:r>
      </w:hyperlink>
      <w:r w:rsidRPr="00BE0E8C">
        <w:rPr>
          <w:color w:val="000000"/>
        </w:rPr>
        <w:t> cited above and our </w:t>
      </w:r>
      <w:hyperlink r:id="rId22" w:tgtFrame="_blank" w:history="1">
        <w:r w:rsidRPr="00BE0E8C">
          <w:rPr>
            <w:rStyle w:val="Hyperlink"/>
          </w:rPr>
          <w:t>circular DPSS.CO.PD No.1463/02.14.003/2018-19 dated January 08, 2019</w:t>
        </w:r>
      </w:hyperlink>
      <w:r w:rsidRPr="00BE0E8C">
        <w:rPr>
          <w:color w:val="000000"/>
        </w:rPr>
        <w:t> on “Tokenisation – Card transactions”. All other provisions of the </w:t>
      </w:r>
      <w:hyperlink r:id="rId23" w:tgtFrame="_blank" w:history="1">
        <w:r w:rsidRPr="00BE0E8C">
          <w:rPr>
            <w:rStyle w:val="Hyperlink"/>
          </w:rPr>
          <w:t>circular dated March 17, 2020</w:t>
        </w:r>
      </w:hyperlink>
      <w:r w:rsidRPr="00BE0E8C">
        <w:rPr>
          <w:color w:val="000000"/>
        </w:rPr>
        <w:t> referred to above, shall remain unchanged.</w:t>
      </w:r>
    </w:p>
    <w:p w:rsidR="0086113C" w:rsidRPr="00BE0E8C" w:rsidRDefault="0086113C" w:rsidP="0086113C">
      <w:pPr>
        <w:pStyle w:val="NormalWeb"/>
        <w:shd w:val="clear" w:color="auto" w:fill="FFFFFF"/>
        <w:spacing w:before="0" w:beforeAutospacing="0" w:after="0" w:afterAutospacing="0"/>
        <w:jc w:val="both"/>
        <w:rPr>
          <w:color w:val="000000"/>
        </w:rPr>
      </w:pP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3. This directive is issued under Section 10 (2) read with Section 18 of Payment and Settlement Systems Act, 2007 (Act 51 of 2007).</w:t>
      </w:r>
    </w:p>
    <w:p w:rsidR="0086113C" w:rsidRPr="00BE0E8C" w:rsidRDefault="0086113C" w:rsidP="0086113C">
      <w:pPr>
        <w:pStyle w:val="head"/>
        <w:shd w:val="clear" w:color="auto" w:fill="FFFFFF"/>
        <w:spacing w:before="0" w:beforeAutospacing="0" w:after="0" w:afterAutospacing="0"/>
        <w:jc w:val="right"/>
        <w:rPr>
          <w:b/>
          <w:bCs/>
          <w:color w:val="000000"/>
        </w:rPr>
      </w:pPr>
    </w:p>
    <w:p w:rsidR="0086113C" w:rsidRPr="00BE0E8C" w:rsidRDefault="0086113C" w:rsidP="0086113C">
      <w:pPr>
        <w:pStyle w:val="head"/>
        <w:shd w:val="clear" w:color="auto" w:fill="FFFFFF"/>
        <w:spacing w:before="0" w:beforeAutospacing="0" w:after="0" w:afterAutospacing="0"/>
        <w:jc w:val="right"/>
        <w:rPr>
          <w:b/>
          <w:bCs/>
          <w:color w:val="000000"/>
        </w:rPr>
      </w:pPr>
      <w:r w:rsidRPr="00BE0E8C">
        <w:rPr>
          <w:b/>
          <w:bCs/>
          <w:color w:val="000000"/>
        </w:rPr>
        <w:t>Annex</w:t>
      </w:r>
    </w:p>
    <w:p w:rsidR="0086113C" w:rsidRPr="00BE0E8C" w:rsidRDefault="0086113C" w:rsidP="0086113C">
      <w:pPr>
        <w:pStyle w:val="head"/>
        <w:shd w:val="clear" w:color="auto" w:fill="FFFFFF"/>
        <w:spacing w:before="0" w:beforeAutospacing="0" w:after="0" w:afterAutospacing="0"/>
        <w:jc w:val="center"/>
        <w:rPr>
          <w:b/>
          <w:bCs/>
          <w:color w:val="000000"/>
        </w:rPr>
      </w:pPr>
    </w:p>
    <w:p w:rsidR="0086113C" w:rsidRPr="00BE0E8C" w:rsidRDefault="0086113C" w:rsidP="0086113C">
      <w:pPr>
        <w:pStyle w:val="head"/>
        <w:shd w:val="clear" w:color="auto" w:fill="FFFFFF"/>
        <w:spacing w:before="0" w:beforeAutospacing="0" w:after="0" w:afterAutospacing="0"/>
        <w:jc w:val="center"/>
        <w:rPr>
          <w:b/>
          <w:bCs/>
          <w:color w:val="000000"/>
        </w:rPr>
      </w:pPr>
      <w:r w:rsidRPr="00BE0E8C">
        <w:rPr>
          <w:b/>
          <w:bCs/>
          <w:color w:val="000000"/>
        </w:rPr>
        <w:t>RBI circular CO.DPSS.POLC.No.S33/02-14-008/2020-2021 dated March 31, 2021</w:t>
      </w:r>
    </w:p>
    <w:p w:rsidR="0086113C" w:rsidRPr="00BE0E8C" w:rsidRDefault="0086113C" w:rsidP="0086113C">
      <w:pPr>
        <w:pStyle w:val="head"/>
        <w:shd w:val="clear" w:color="auto" w:fill="FFFFFF"/>
        <w:spacing w:before="0" w:beforeAutospacing="0" w:after="0" w:afterAutospacing="0"/>
        <w:jc w:val="center"/>
        <w:rPr>
          <w:b/>
          <w:bCs/>
          <w:color w:val="000000"/>
        </w:rPr>
      </w:pPr>
      <w:r w:rsidRPr="00BE0E8C">
        <w:rPr>
          <w:b/>
          <w:bCs/>
          <w:color w:val="000000"/>
          <w:u w:val="single"/>
        </w:rPr>
        <w:t>Clarification issued by RBI on </w:t>
      </w:r>
      <w:hyperlink r:id="rId24" w:tgtFrame="_blank" w:history="1">
        <w:r w:rsidRPr="00BE0E8C">
          <w:rPr>
            <w:rStyle w:val="Hyperlink"/>
            <w:b/>
            <w:bCs/>
          </w:rPr>
          <w:t>circular DPSS.CO.PD.No.1810/02.14.008/2019-20 dated March 17, 2020</w:t>
        </w:r>
      </w:hyperlink>
      <w:r w:rsidRPr="00BE0E8C">
        <w:rPr>
          <w:b/>
          <w:bCs/>
          <w:color w:val="000000"/>
          <w:u w:val="single"/>
        </w:rPr>
        <w:t> (as updated from time to time) on “Guidelines on Regulation of Payment Aggregators (PAs) and Payment Gateways (PGs)”</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1. Definition and applicability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1.1. The circular is applicable to online PAs and PGs. The guidelines seek to regulate the activities of online PAs while providing baseline technology-related recommendations to PGs.</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1.2. In the case of bank PAs, there is no requirement of authorisation; they shall ensure compliance with the guidelines by September 30, 2020 (as extended vide </w:t>
      </w:r>
      <w:hyperlink r:id="rId25" w:tgtFrame="_blank" w:history="1">
        <w:r w:rsidRPr="00BE0E8C">
          <w:rPr>
            <w:rStyle w:val="Hyperlink"/>
          </w:rPr>
          <w:t>circular DPSS.CO.PD.No.1897/02.14.003/2019-20 dated June 04, 2020</w:t>
        </w:r>
      </w:hyperlink>
      <w:r w:rsidRPr="00BE0E8C">
        <w:rPr>
          <w:color w:val="000000"/>
        </w:rPr>
        <w:t xml:space="preserve">). For non-bank PAs, the </w:t>
      </w:r>
      <w:r w:rsidRPr="00BE0E8C">
        <w:rPr>
          <w:color w:val="000000"/>
        </w:rPr>
        <w:lastRenderedPageBreak/>
        <w:t>instructions will come into force from the date of their authorisation, subject to the submission of application for authorisation before the end date of June 30, 2021.</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1.3. The circular is also applicable to e-commerce marketplaces that are undertaking direct payment aggregation; e-commerce marketplaces availing the services of a PA shall be considered as merchants.</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1.4. The circular is not applicable on ‘Delivery vs. Payment’ transactions but addresses the transactions where the payment is made in advance while the goods are delivered in a deferred manner.</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2. Authorisation, capital and net-worth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2.1. Banks maintaining the escrow account/s need not monitor the net-worth of the PA.</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2.2. For existing non-bank PAs, the CA certificate of net-worth evidencing that the requirement of net-worth is ensured (as on March 31, 2021) will be required to be submitted to RBI at the time of application for authorisation (in case of an existing entity desirous of applying before March 31, 2021 a similar certificate shall be submitted as on the nearest half-year ending date). Newly incorporated non-bank entities which may not have an audited statement of financial accounts shall submit a certificate from their CA regarding the current net-worth along with provisional balance sheet.</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3. Governance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3.1. The Promoters / Promoter Groups, shall conform to the Reserve Bank’s ‘fit and proper’ criteria. Director of the PA company shall be deemed to be a “fit and proper” person if:</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3.1.1. Such person has a record of fairness and integrity, including but not limited to:</w:t>
      </w:r>
    </w:p>
    <w:p w:rsidR="0086113C" w:rsidRPr="00BE0E8C" w:rsidRDefault="0086113C" w:rsidP="0086113C">
      <w:pPr>
        <w:pStyle w:val="NormalWeb"/>
        <w:numPr>
          <w:ilvl w:val="0"/>
          <w:numId w:val="4"/>
        </w:numPr>
        <w:shd w:val="clear" w:color="auto" w:fill="FFFFFF"/>
        <w:spacing w:before="0" w:beforeAutospacing="0" w:after="0" w:afterAutospacing="0"/>
        <w:jc w:val="both"/>
        <w:rPr>
          <w:color w:val="000000"/>
        </w:rPr>
      </w:pPr>
      <w:r w:rsidRPr="00BE0E8C">
        <w:rPr>
          <w:color w:val="000000"/>
        </w:rPr>
        <w:t>financial integrity;</w:t>
      </w:r>
    </w:p>
    <w:p w:rsidR="0086113C" w:rsidRPr="00BE0E8C" w:rsidRDefault="0086113C" w:rsidP="0086113C">
      <w:pPr>
        <w:pStyle w:val="NormalWeb"/>
        <w:numPr>
          <w:ilvl w:val="0"/>
          <w:numId w:val="4"/>
        </w:numPr>
        <w:shd w:val="clear" w:color="auto" w:fill="FFFFFF"/>
        <w:spacing w:before="0" w:beforeAutospacing="0" w:after="0" w:afterAutospacing="0"/>
        <w:jc w:val="both"/>
        <w:rPr>
          <w:color w:val="000000"/>
        </w:rPr>
      </w:pPr>
      <w:r w:rsidRPr="00BE0E8C">
        <w:rPr>
          <w:color w:val="000000"/>
        </w:rPr>
        <w:t>good reputation and character; and</w:t>
      </w:r>
    </w:p>
    <w:p w:rsidR="0086113C" w:rsidRPr="00BE0E8C" w:rsidRDefault="0086113C" w:rsidP="0086113C">
      <w:pPr>
        <w:pStyle w:val="NormalWeb"/>
        <w:numPr>
          <w:ilvl w:val="0"/>
          <w:numId w:val="4"/>
        </w:numPr>
        <w:shd w:val="clear" w:color="auto" w:fill="FFFFFF"/>
        <w:spacing w:before="0" w:beforeAutospacing="0" w:after="0" w:afterAutospacing="0"/>
        <w:jc w:val="both"/>
        <w:rPr>
          <w:color w:val="000000"/>
        </w:rPr>
      </w:pPr>
      <w:r w:rsidRPr="00BE0E8C">
        <w:rPr>
          <w:color w:val="000000"/>
        </w:rPr>
        <w:t>honesty;</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3.1.2. Such person has not incurred any of the following disqualifications:</w:t>
      </w:r>
    </w:p>
    <w:p w:rsidR="0086113C" w:rsidRPr="00BE0E8C" w:rsidRDefault="0086113C" w:rsidP="0086113C">
      <w:pPr>
        <w:pStyle w:val="NormalWeb"/>
        <w:numPr>
          <w:ilvl w:val="0"/>
          <w:numId w:val="5"/>
        </w:numPr>
        <w:shd w:val="clear" w:color="auto" w:fill="FFFFFF"/>
        <w:spacing w:before="0" w:beforeAutospacing="0" w:after="0" w:afterAutospacing="0"/>
        <w:jc w:val="both"/>
        <w:rPr>
          <w:color w:val="000000"/>
        </w:rPr>
      </w:pPr>
      <w:r w:rsidRPr="00BE0E8C">
        <w:rPr>
          <w:color w:val="000000"/>
        </w:rPr>
        <w:t>Convicted by a court for any offence involving moral turpitude or any economic offence or any offence under the laws administered by the RBI;</w:t>
      </w:r>
    </w:p>
    <w:p w:rsidR="0086113C" w:rsidRPr="00BE0E8C" w:rsidRDefault="0086113C" w:rsidP="0086113C">
      <w:pPr>
        <w:pStyle w:val="NormalWeb"/>
        <w:numPr>
          <w:ilvl w:val="0"/>
          <w:numId w:val="5"/>
        </w:numPr>
        <w:shd w:val="clear" w:color="auto" w:fill="FFFFFF"/>
        <w:spacing w:before="0" w:beforeAutospacing="0" w:after="0" w:afterAutospacing="0"/>
        <w:jc w:val="both"/>
        <w:rPr>
          <w:color w:val="000000"/>
        </w:rPr>
      </w:pPr>
      <w:r w:rsidRPr="00BE0E8C">
        <w:rPr>
          <w:color w:val="000000"/>
        </w:rPr>
        <w:t>Declared insolvent and not discharged;</w:t>
      </w:r>
    </w:p>
    <w:p w:rsidR="0086113C" w:rsidRPr="00BE0E8C" w:rsidRDefault="0086113C" w:rsidP="0086113C">
      <w:pPr>
        <w:pStyle w:val="NormalWeb"/>
        <w:numPr>
          <w:ilvl w:val="0"/>
          <w:numId w:val="5"/>
        </w:numPr>
        <w:shd w:val="clear" w:color="auto" w:fill="FFFFFF"/>
        <w:spacing w:before="0" w:beforeAutospacing="0" w:after="0" w:afterAutospacing="0"/>
        <w:jc w:val="both"/>
        <w:rPr>
          <w:color w:val="000000"/>
        </w:rPr>
      </w:pPr>
      <w:r w:rsidRPr="00BE0E8C">
        <w:rPr>
          <w:color w:val="000000"/>
        </w:rPr>
        <w:t>An order, restraining, prohibiting or debarring the person from accessing / dealing in any financial system, passed by any regulatory authority, and the period specified in the order has not elapsed;</w:t>
      </w:r>
    </w:p>
    <w:p w:rsidR="0086113C" w:rsidRPr="00BE0E8C" w:rsidRDefault="0086113C" w:rsidP="0086113C">
      <w:pPr>
        <w:pStyle w:val="NormalWeb"/>
        <w:numPr>
          <w:ilvl w:val="0"/>
          <w:numId w:val="5"/>
        </w:numPr>
        <w:shd w:val="clear" w:color="auto" w:fill="FFFFFF"/>
        <w:spacing w:before="0" w:beforeAutospacing="0" w:after="0" w:afterAutospacing="0"/>
        <w:jc w:val="both"/>
        <w:rPr>
          <w:color w:val="000000"/>
        </w:rPr>
      </w:pPr>
      <w:r w:rsidRPr="00BE0E8C">
        <w:rPr>
          <w:color w:val="000000"/>
        </w:rPr>
        <w:t>Found to be of unsound mind by a court of competent jurisdiction and the finding is in force; and</w:t>
      </w:r>
    </w:p>
    <w:p w:rsidR="0086113C" w:rsidRPr="00BE0E8C" w:rsidRDefault="0086113C" w:rsidP="0086113C">
      <w:pPr>
        <w:pStyle w:val="NormalWeb"/>
        <w:numPr>
          <w:ilvl w:val="0"/>
          <w:numId w:val="5"/>
        </w:numPr>
        <w:shd w:val="clear" w:color="auto" w:fill="FFFFFF"/>
        <w:spacing w:before="0" w:beforeAutospacing="0" w:after="0" w:afterAutospacing="0"/>
        <w:jc w:val="both"/>
        <w:rPr>
          <w:color w:val="000000"/>
        </w:rPr>
      </w:pPr>
      <w:r w:rsidRPr="00BE0E8C">
        <w:rPr>
          <w:color w:val="000000"/>
        </w:rPr>
        <w:t>Is financially not sound.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3.1.3. If any question arises as to whether a person is a fit and proper person, the RBI’s decision on such question shall be final.</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3.2. Para 5.4 related to disclosure of comprehensive information regarding merchant policies, customer grievances, privacy policy and other terms and conditions on the website and / or their mobile application, refers to policies of the PA and not of individual merchants on-boarded by it.</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4. KYC and merchant on-boarding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4.1. In case a PA is maintaining an account-based relationship with the merchant, the KYC guidelines of Department of Regulation (DoR), RBI is applicable. Thus, to this extent, para 6 on ‘Safeguards against Money Laundering (KYC / AML / CFT) Provisions’ shall also be applicable.</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lastRenderedPageBreak/>
        <w:t>4.2. For merchant on-boarding, the PA can have a Board approved policy (Para 7.1). There would not be a requirement to carry-out entire process of KYC (in accordance with the KYC guidelines of DoR), in cases where the merchant already has a bank account which is being used for transaction settlement purpose.</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5. OPGSP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5.1. Entities functioning as OPGSP and undertaking cross-border transactions in terms of OPGSP guidelines shall ensure compliance with the instructions issued vide </w:t>
      </w:r>
      <w:hyperlink r:id="rId26" w:tgtFrame="_blank" w:history="1">
        <w:r w:rsidRPr="00BE0E8C">
          <w:rPr>
            <w:rStyle w:val="Hyperlink"/>
          </w:rPr>
          <w:t>A.P. (DIR Series) Circular No.16 dated September 24, 2015</w:t>
        </w:r>
      </w:hyperlink>
      <w:r w:rsidRPr="00BE0E8C">
        <w:rPr>
          <w:color w:val="000000"/>
        </w:rPr>
        <w:t>.</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5.2. If OPGSP is also an entity which is functioning as PG or PA under the guidelines stipulated by DPSS, for undertaking any domestic leg of import / export transaction, it has to be ensured that the timelines and other guidelines, including those relating to authorised modes of collection, i.e. debit card, credit card and internet banking, indicated for the purpose of cross-border transactions in </w:t>
      </w:r>
      <w:hyperlink r:id="rId27" w:tgtFrame="_blank" w:history="1">
        <w:r w:rsidRPr="00BE0E8C">
          <w:rPr>
            <w:rStyle w:val="Hyperlink"/>
          </w:rPr>
          <w:t>A.P. (DIR Series) Circular No.16 dated September 24, 2015</w:t>
        </w:r>
      </w:hyperlink>
      <w:r w:rsidRPr="00BE0E8C">
        <w:rPr>
          <w:color w:val="000000"/>
        </w:rPr>
        <w:t>, are also adhered to.</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6. Security, fraud prevention and risk management framework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6.1. The PA needs to ensure compliance of the infrastructure of the merchants to security standards like PCI-DSS and PA-DSS, as applicable.</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6.2. Merchants are not allowed to store payment data irrespective of their being PCI-DSS compliant or otherwise. They shall, however, be allowed to store limited data for the purpose of transaction tracking; for which, the required limited information may be stored in compliance with the applicable standards.</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6.3. The PA cannot also store customer card credentials within its database or the server (irrespective of it being accessed by merchant or not) except for the limited purpose of transaction tracking; for which, required credentials may be stored in compliance with the applicable standards.</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6.4. Para 10.5: A standard system audit, including cyber security audit, conducted by CERT-In empanelled auditors may be carried out.</w:t>
      </w:r>
    </w:p>
    <w:p w:rsidR="0086113C" w:rsidRPr="00BE0E8C" w:rsidRDefault="0086113C" w:rsidP="0086113C">
      <w:pPr>
        <w:pStyle w:val="head"/>
        <w:shd w:val="clear" w:color="auto" w:fill="FFFFFF"/>
        <w:spacing w:before="0" w:beforeAutospacing="0" w:after="0" w:afterAutospacing="0"/>
        <w:jc w:val="both"/>
        <w:rPr>
          <w:b/>
          <w:bCs/>
          <w:color w:val="000000"/>
        </w:rPr>
      </w:pPr>
    </w:p>
    <w:p w:rsidR="0086113C" w:rsidRPr="00BE0E8C" w:rsidRDefault="0086113C" w:rsidP="0086113C">
      <w:pPr>
        <w:pStyle w:val="head"/>
        <w:shd w:val="clear" w:color="auto" w:fill="FFFFFF"/>
        <w:spacing w:before="0" w:beforeAutospacing="0" w:after="0" w:afterAutospacing="0"/>
        <w:jc w:val="both"/>
        <w:rPr>
          <w:b/>
          <w:bCs/>
          <w:color w:val="000000"/>
        </w:rPr>
      </w:pPr>
      <w:r w:rsidRPr="00BE0E8C">
        <w:rPr>
          <w:b/>
          <w:bCs/>
          <w:color w:val="000000"/>
        </w:rPr>
        <w:t>7. Settlement and escrow account related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7.1. For the purpose of maintenance of the escrow account, the operations of PAs are deemed to be ‘designated payment systems’ under the Payment and Settlement Systems Act (PSS Act) after the entity obtains authorisation from RBI.</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7.2. The applicability of </w:t>
      </w:r>
      <w:hyperlink r:id="rId28" w:tgtFrame="_blank" w:history="1">
        <w:r w:rsidRPr="00BE0E8C">
          <w:rPr>
            <w:rStyle w:val="Hyperlink"/>
          </w:rPr>
          <w:t>circular DPSS.CO.PD.No.1102/02.14.08/2009-10 dated November 24, 2009</w:t>
        </w:r>
      </w:hyperlink>
      <w:r w:rsidRPr="00BE0E8C">
        <w:rPr>
          <w:color w:val="000000"/>
        </w:rPr>
        <w:t> on “Directions for opening and operation of Accounts and settlement of payments for electronic payment transactions involving intermediaries” shall be as follows:</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7.2.1. The circular shall be considered repealed for authorised PAs from the date of authorisation;</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7.2.2. The circular shall be considered repealed with effect from June 30, 2021 except for such PAs who have applied for authorisation and a decision on it is pending with RBI.</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7.3. The existing entities can continue to maintain nodal accounts till they have been authorised by RBI. Since the PA needs to move towards an escrow account, the bank and the PA may take a call about maintaining the same from an earlier date as well. However, this alone shall not make them eligible for a “designated payment system” status under Section 23A of the PSS Act.</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7.4. If the bank can satisfactorily establish that the nodal account of an entity has been migrated to escrow account in compliance with the new instructions, it can allow the balances under existing nodal accounts of PAs to be considered for calculation of ‘Core portion’.</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lastRenderedPageBreak/>
        <w:t>7.5. Those entities who have not attained the requisite net-worth as of March 31, 2021 shall wind up their PA business. Banks shall be required to close such nodal accounts after June 30, 2021 unless the PA produces evidence to the bank regarding application for authorisation being made to RBI.</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7.6. The pre-funding has been allowed to tide over temporary mis-matches. Taking back of surplus pre-funding is not allowed.</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7.7. There can be different “t” for different merchants as per the agreement between PA and merchants.</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7.8. Para 8.6: The amount due to the merchant will be reckoned only after the settlement and credit to the escrow account. There is no need to prefund the account for this purpose. However, the proceeds shall be credited to escrow on the settlement day itself.</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7.9. Where PAs have no control over incoming funds and its delay thereof, the PAs need to follow the instructions and transfer the funds to the merchant within T+0 / T+1 basis, post receiving of funds into its account.</w:t>
      </w:r>
    </w:p>
    <w:p w:rsidR="0086113C" w:rsidRPr="00BE0E8C" w:rsidRDefault="0086113C" w:rsidP="0086113C">
      <w:pPr>
        <w:pStyle w:val="NormalWeb"/>
        <w:shd w:val="clear" w:color="auto" w:fill="FFFFFF"/>
        <w:spacing w:before="0" w:beforeAutospacing="0" w:after="0" w:afterAutospacing="0"/>
        <w:jc w:val="both"/>
        <w:rPr>
          <w:color w:val="000000"/>
        </w:rPr>
      </w:pPr>
      <w:r w:rsidRPr="00BE0E8C">
        <w:rPr>
          <w:color w:val="000000"/>
        </w:rPr>
        <w:t>7.10. The settlement accounts opened under Bharat Bill Payment System (BBPS) would be governed by BBPS instructions.</w:t>
      </w:r>
    </w:p>
    <w:p w:rsidR="0086113C" w:rsidRPr="00BE0E8C" w:rsidRDefault="0086113C" w:rsidP="0086113C">
      <w:pPr>
        <w:pStyle w:val="NormalWeb"/>
        <w:shd w:val="clear" w:color="auto" w:fill="FFFFFF"/>
        <w:spacing w:before="0" w:beforeAutospacing="0" w:after="0" w:afterAutospacing="0"/>
        <w:jc w:val="both"/>
        <w:rPr>
          <w:color w:val="000000"/>
        </w:rPr>
      </w:pPr>
    </w:p>
    <w:p w:rsidR="0086113C" w:rsidRPr="00BE0E8C" w:rsidRDefault="008A2E1D" w:rsidP="0086113C">
      <w:pPr>
        <w:pStyle w:val="NormalWeb"/>
        <w:shd w:val="clear" w:color="auto" w:fill="FFFFFF"/>
        <w:spacing w:before="0" w:beforeAutospacing="0" w:after="0" w:afterAutospacing="0"/>
        <w:jc w:val="both"/>
        <w:rPr>
          <w:color w:val="000000"/>
        </w:rPr>
      </w:pPr>
      <w:hyperlink r:id="rId29" w:history="1">
        <w:r w:rsidR="0086113C" w:rsidRPr="00BE0E8C">
          <w:rPr>
            <w:rStyle w:val="Hyperlink"/>
          </w:rPr>
          <w:t>https://www.rbi.org.in/Scripts/NotificationUser.aspx?Id=12050&amp;Mode=0</w:t>
        </w:r>
      </w:hyperlink>
      <w:r w:rsidR="0086113C" w:rsidRPr="00BE0E8C">
        <w:rPr>
          <w:color w:val="000000"/>
        </w:rPr>
        <w:t xml:space="preserve"> </w:t>
      </w:r>
    </w:p>
    <w:p w:rsidR="0086113C" w:rsidRPr="00BE0E8C" w:rsidRDefault="0086113C" w:rsidP="0086113C">
      <w:pPr>
        <w:pStyle w:val="NormalWeb"/>
        <w:pBdr>
          <w:bottom w:val="single" w:sz="12" w:space="1" w:color="auto"/>
        </w:pBdr>
        <w:shd w:val="clear" w:color="auto" w:fill="FFFFFF"/>
        <w:spacing w:before="0" w:beforeAutospacing="0" w:after="0" w:afterAutospacing="0"/>
        <w:jc w:val="both"/>
        <w:rPr>
          <w:color w:val="000000"/>
        </w:rPr>
      </w:pPr>
    </w:p>
    <w:p w:rsidR="0086113C" w:rsidRPr="00BE0E8C" w:rsidRDefault="0086113C" w:rsidP="0086113C">
      <w:pPr>
        <w:pStyle w:val="NormalWeb"/>
        <w:shd w:val="clear" w:color="auto" w:fill="FFFFFF"/>
        <w:spacing w:before="0" w:beforeAutospacing="0" w:after="0" w:afterAutospacing="0"/>
        <w:jc w:val="both"/>
        <w:rPr>
          <w:b/>
          <w:bCs/>
          <w:color w:val="000000"/>
        </w:rPr>
      </w:pPr>
    </w:p>
    <w:p w:rsidR="00F41146" w:rsidRPr="00BE0E8C" w:rsidRDefault="00F41146" w:rsidP="00F41146">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Extension of Cheque Truncation System (CTS) across all bank branches in the country</w:t>
      </w:r>
    </w:p>
    <w:p w:rsidR="00F41146" w:rsidRPr="00BE0E8C" w:rsidRDefault="00F41146" w:rsidP="00F41146">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41146" w:rsidRPr="00BE0E8C" w:rsidRDefault="00F41146" w:rsidP="00F41146">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RBI/2020-21/107 DPSS.CO.RPPD.No.SUO 21102/04.07.005/2020-21</w:t>
      </w:r>
      <w:r w:rsidRPr="00BE0E8C">
        <w:rPr>
          <w:rFonts w:ascii="Times New Roman" w:eastAsia="Times New Roman" w:hAnsi="Times New Roman" w:cs="Times New Roman"/>
          <w:b/>
          <w:color w:val="000000"/>
          <w:sz w:val="24"/>
          <w:szCs w:val="24"/>
          <w:lang w:eastAsia="en-IN"/>
        </w:rPr>
        <w:tab/>
        <w:t>March 15, 2021</w:t>
      </w:r>
    </w:p>
    <w:p w:rsidR="00F41146" w:rsidRPr="00BE0E8C" w:rsidRDefault="00F41146" w:rsidP="00F41146">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41146" w:rsidRPr="00BE0E8C" w:rsidRDefault="00F41146" w:rsidP="00F41146">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The Chairman and Managing Director / Chief Executive Officer, All Scheduled Commercial Banks including Regional Rural Banks / Urban Co-operative Banks / State Co-operative Banks /District Central Co-operative Banks / Local Area Banks / Payment Banks / Small Finance Banks / National Payments Corporation of India</w:t>
      </w:r>
    </w:p>
    <w:p w:rsidR="00F41146" w:rsidRPr="00BE0E8C" w:rsidRDefault="00F41146" w:rsidP="00F41146">
      <w:pPr>
        <w:pStyle w:val="NormalWeb"/>
        <w:shd w:val="clear" w:color="auto" w:fill="FFFFFF"/>
        <w:spacing w:before="0" w:beforeAutospacing="0" w:after="0" w:afterAutospacing="0"/>
        <w:jc w:val="both"/>
        <w:rPr>
          <w:color w:val="000000"/>
        </w:rPr>
      </w:pPr>
    </w:p>
    <w:p w:rsidR="00F41146" w:rsidRPr="00BE0E8C" w:rsidRDefault="00F41146" w:rsidP="00F41146">
      <w:pPr>
        <w:pStyle w:val="NormalWeb"/>
        <w:shd w:val="clear" w:color="auto" w:fill="FFFFFF"/>
        <w:spacing w:before="0" w:beforeAutospacing="0" w:after="0" w:afterAutospacing="0"/>
        <w:jc w:val="both"/>
        <w:rPr>
          <w:color w:val="000000"/>
        </w:rPr>
      </w:pPr>
      <w:r w:rsidRPr="00BE0E8C">
        <w:rPr>
          <w:color w:val="000000"/>
        </w:rPr>
        <w:t>Please refer to the </w:t>
      </w:r>
      <w:hyperlink r:id="rId30" w:tgtFrame="_blank" w:history="1">
        <w:r w:rsidRPr="00BE0E8C">
          <w:rPr>
            <w:rStyle w:val="Hyperlink"/>
          </w:rPr>
          <w:t>Statement on Developmental and Regulatory Policies dated February 5, 2021</w:t>
        </w:r>
      </w:hyperlink>
      <w:r w:rsidRPr="00BE0E8C">
        <w:rPr>
          <w:color w:val="000000"/>
        </w:rPr>
        <w:t> wherein Reserve Bank of India (RBI) had announced pan-India coverage of CTS by bringing all branches of banks in the country under image-based CTS clearing mechanism.</w:t>
      </w:r>
    </w:p>
    <w:p w:rsidR="00F41146" w:rsidRPr="00BE0E8C" w:rsidRDefault="00F41146" w:rsidP="00F41146">
      <w:pPr>
        <w:pStyle w:val="NormalWeb"/>
        <w:shd w:val="clear" w:color="auto" w:fill="FFFFFF"/>
        <w:spacing w:before="0" w:beforeAutospacing="0" w:after="0" w:afterAutospacing="0"/>
        <w:jc w:val="both"/>
        <w:rPr>
          <w:color w:val="000000"/>
        </w:rPr>
      </w:pPr>
    </w:p>
    <w:p w:rsidR="00F41146" w:rsidRPr="00BE0E8C" w:rsidRDefault="00F41146" w:rsidP="00F41146">
      <w:pPr>
        <w:pStyle w:val="NormalWeb"/>
        <w:shd w:val="clear" w:color="auto" w:fill="FFFFFF"/>
        <w:spacing w:before="0" w:beforeAutospacing="0" w:after="0" w:afterAutospacing="0"/>
        <w:jc w:val="both"/>
        <w:rPr>
          <w:color w:val="000000"/>
        </w:rPr>
      </w:pPr>
      <w:r w:rsidRPr="00BE0E8C">
        <w:rPr>
          <w:color w:val="000000"/>
        </w:rPr>
        <w:t>2. The CTS is in use since 2010 and presently covers around 1,50,000 branches. All the erstwhile 1219 non-CTS clearing houses (ECCS centres) have been migrated to CTS effective September 2020. It is, however, seen that there are branches of banks that are outside any formal clearing arrangement and their customers face hardships due to longer time taken and cost involved in collection of cheques presented by them.</w:t>
      </w:r>
    </w:p>
    <w:p w:rsidR="00F41146" w:rsidRPr="00BE0E8C" w:rsidRDefault="00F41146" w:rsidP="00F41146">
      <w:pPr>
        <w:pStyle w:val="NormalWeb"/>
        <w:shd w:val="clear" w:color="auto" w:fill="FFFFFF"/>
        <w:spacing w:before="0" w:beforeAutospacing="0" w:after="0" w:afterAutospacing="0"/>
        <w:jc w:val="both"/>
        <w:rPr>
          <w:color w:val="000000"/>
        </w:rPr>
      </w:pPr>
    </w:p>
    <w:p w:rsidR="00F41146" w:rsidRPr="00BE0E8C" w:rsidRDefault="00F41146" w:rsidP="00F41146">
      <w:pPr>
        <w:pStyle w:val="NormalWeb"/>
        <w:shd w:val="clear" w:color="auto" w:fill="FFFFFF"/>
        <w:spacing w:before="0" w:beforeAutospacing="0" w:after="0" w:afterAutospacing="0"/>
        <w:jc w:val="both"/>
        <w:rPr>
          <w:color w:val="000000"/>
        </w:rPr>
      </w:pPr>
      <w:r w:rsidRPr="00BE0E8C">
        <w:rPr>
          <w:color w:val="000000"/>
        </w:rPr>
        <w:t>3. To leverage the availability of CTS and provide uniform customer experience irrespective of location of her/his bank branch, it has been decided to extend CTS across all bank branches in the country. To facilitate this, banks shall have to ensure that all their branches participate in image-based CTS under respective grids by September 30, 2021. They are free to adopt a model of their choice, like deploying suitable infrastructure in every branch or following a hub &amp; spoke model, etc. and concerned banks shall coordinate with the respective Regional Offices of RBI to operationalise this.</w:t>
      </w:r>
    </w:p>
    <w:p w:rsidR="00F41146" w:rsidRPr="00BE0E8C" w:rsidRDefault="00F41146" w:rsidP="00F41146">
      <w:pPr>
        <w:pStyle w:val="NormalWeb"/>
        <w:shd w:val="clear" w:color="auto" w:fill="FFFFFF"/>
        <w:spacing w:before="0" w:beforeAutospacing="0" w:after="0" w:afterAutospacing="0"/>
        <w:jc w:val="both"/>
        <w:rPr>
          <w:color w:val="000000"/>
        </w:rPr>
      </w:pPr>
    </w:p>
    <w:p w:rsidR="00F41146" w:rsidRPr="00BE0E8C" w:rsidRDefault="00F41146" w:rsidP="00F41146">
      <w:pPr>
        <w:pStyle w:val="NormalWeb"/>
        <w:shd w:val="clear" w:color="auto" w:fill="FFFFFF"/>
        <w:spacing w:before="0" w:beforeAutospacing="0" w:after="0" w:afterAutospacing="0"/>
        <w:jc w:val="both"/>
        <w:rPr>
          <w:color w:val="000000"/>
        </w:rPr>
      </w:pPr>
      <w:r w:rsidRPr="00BE0E8C">
        <w:rPr>
          <w:color w:val="000000"/>
        </w:rPr>
        <w:t>4. Banks are advised to inform us (</w:t>
      </w:r>
      <w:hyperlink r:id="rId31" w:history="1">
        <w:r w:rsidRPr="00BE0E8C">
          <w:rPr>
            <w:rStyle w:val="Hyperlink"/>
          </w:rPr>
          <w:t>helpdpss@rbi.org.in</w:t>
        </w:r>
      </w:hyperlink>
      <w:r w:rsidRPr="00BE0E8C">
        <w:rPr>
          <w:color w:val="000000"/>
        </w:rPr>
        <w:t>) the roadmap to achieve pan-India coverage of CTS and submit a status report before April 30, 2021.</w:t>
      </w:r>
    </w:p>
    <w:p w:rsidR="00F41146" w:rsidRPr="00BE0E8C" w:rsidRDefault="00F41146" w:rsidP="00F41146">
      <w:pPr>
        <w:pStyle w:val="NormalWeb"/>
        <w:shd w:val="clear" w:color="auto" w:fill="FFFFFF"/>
        <w:spacing w:before="0" w:beforeAutospacing="0" w:after="0" w:afterAutospacing="0"/>
        <w:jc w:val="both"/>
        <w:rPr>
          <w:color w:val="000000"/>
        </w:rPr>
      </w:pPr>
    </w:p>
    <w:p w:rsidR="00F41146" w:rsidRPr="00BE0E8C" w:rsidRDefault="00F41146" w:rsidP="00F41146">
      <w:pPr>
        <w:pStyle w:val="NormalWeb"/>
        <w:shd w:val="clear" w:color="auto" w:fill="FFFFFF"/>
        <w:spacing w:before="0" w:beforeAutospacing="0" w:after="0" w:afterAutospacing="0"/>
        <w:jc w:val="both"/>
        <w:rPr>
          <w:color w:val="000000"/>
        </w:rPr>
      </w:pPr>
      <w:r w:rsidRPr="00BE0E8C">
        <w:rPr>
          <w:color w:val="000000"/>
        </w:rPr>
        <w:t>5. This directive is issued under Section 10 (2) read with Section 18 of Payment and Settlement Systems Act, 2007 (Act 51 of 2007).</w:t>
      </w:r>
    </w:p>
    <w:p w:rsidR="00F41146" w:rsidRPr="00BE0E8C" w:rsidRDefault="00F41146" w:rsidP="00F41146">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41146" w:rsidRPr="00BE0E8C" w:rsidRDefault="00F41146" w:rsidP="00F41146">
      <w:pPr>
        <w:shd w:val="clear" w:color="auto" w:fill="FFFFFF"/>
        <w:spacing w:after="0" w:line="240" w:lineRule="auto"/>
        <w:jc w:val="both"/>
        <w:rPr>
          <w:rFonts w:ascii="Times New Roman" w:hAnsi="Times New Roman" w:cs="Times New Roman"/>
          <w:b/>
          <w:bCs/>
          <w:color w:val="000000"/>
          <w:sz w:val="24"/>
          <w:szCs w:val="24"/>
        </w:rPr>
      </w:pPr>
    </w:p>
    <w:p w:rsidR="00CC6F2A" w:rsidRPr="00BE0E8C" w:rsidRDefault="00CC6F2A" w:rsidP="00CC6F2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BE0E8C">
        <w:rPr>
          <w:rFonts w:ascii="Times New Roman" w:hAnsi="Times New Roman" w:cs="Times New Roman"/>
          <w:b/>
          <w:bCs/>
          <w:color w:val="000000"/>
          <w:sz w:val="24"/>
          <w:szCs w:val="24"/>
        </w:rPr>
        <w:t>Master Direction on Digital Payment Security Controls</w:t>
      </w:r>
    </w:p>
    <w:p w:rsidR="00CC6F2A" w:rsidRPr="00BE0E8C" w:rsidRDefault="00CC6F2A" w:rsidP="00CC6F2A">
      <w:pPr>
        <w:spacing w:after="0" w:line="240" w:lineRule="auto"/>
        <w:jc w:val="both"/>
        <w:rPr>
          <w:rFonts w:ascii="Times New Roman" w:hAnsi="Times New Roman" w:cs="Times New Roman"/>
          <w:b/>
          <w:bCs/>
          <w:color w:val="000000"/>
          <w:sz w:val="24"/>
          <w:szCs w:val="24"/>
        </w:rPr>
      </w:pPr>
    </w:p>
    <w:p w:rsidR="00CC6F2A" w:rsidRPr="00BE0E8C" w:rsidRDefault="00CC6F2A" w:rsidP="00CC6F2A">
      <w:pPr>
        <w:pStyle w:val="NormalWeb"/>
        <w:shd w:val="clear" w:color="auto" w:fill="FFFFFF"/>
        <w:spacing w:before="0" w:beforeAutospacing="0" w:after="0" w:afterAutospacing="0"/>
        <w:jc w:val="both"/>
        <w:rPr>
          <w:b/>
          <w:color w:val="000000"/>
        </w:rPr>
      </w:pPr>
      <w:r w:rsidRPr="00BE0E8C">
        <w:rPr>
          <w:b/>
          <w:color w:val="000000"/>
        </w:rPr>
        <w:t>RBI/2020-21/74 DoS.CO.CSITE.SEC.No.1852/31.01.015/2020-21       February 18, 2021</w:t>
      </w:r>
    </w:p>
    <w:p w:rsidR="00CC6F2A" w:rsidRPr="00BE0E8C" w:rsidRDefault="00CC6F2A" w:rsidP="00CC6F2A">
      <w:pPr>
        <w:spacing w:after="0" w:line="240" w:lineRule="auto"/>
        <w:jc w:val="both"/>
        <w:rPr>
          <w:rFonts w:ascii="Times New Roman" w:hAnsi="Times New Roman" w:cs="Times New Roman"/>
          <w:color w:val="000000"/>
          <w:sz w:val="24"/>
          <w:szCs w:val="24"/>
          <w:shd w:val="clear" w:color="auto" w:fill="FFFFFF"/>
        </w:rPr>
      </w:pPr>
    </w:p>
    <w:p w:rsidR="00CC6F2A" w:rsidRPr="00BE0E8C" w:rsidRDefault="00CC6F2A" w:rsidP="00CC6F2A">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Managing Director/ Chief Executive Officer, All Scheduled Commercial Banks excluding RRBs/Small Finance Banks/Payments Banks/ Credit Card issuing NBFCs.</w:t>
      </w:r>
    </w:p>
    <w:p w:rsidR="00CC6F2A" w:rsidRPr="00BE0E8C" w:rsidRDefault="00CC6F2A" w:rsidP="00CC6F2A">
      <w:pPr>
        <w:spacing w:after="0" w:line="240" w:lineRule="auto"/>
        <w:jc w:val="both"/>
        <w:rPr>
          <w:rFonts w:ascii="Times New Roman" w:hAnsi="Times New Roman" w:cs="Times New Roman"/>
          <w:color w:val="000000"/>
          <w:sz w:val="24"/>
          <w:szCs w:val="24"/>
          <w:shd w:val="clear" w:color="auto" w:fill="FFFFFF"/>
        </w:rPr>
      </w:pPr>
    </w:p>
    <w:p w:rsidR="00CC6F2A" w:rsidRPr="00BE0E8C" w:rsidRDefault="00CC6F2A" w:rsidP="00CC6F2A">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32"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33"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CC6F2A" w:rsidRPr="00BE0E8C" w:rsidRDefault="00CC6F2A" w:rsidP="00CC6F2A">
      <w:pPr>
        <w:spacing w:after="0" w:line="240" w:lineRule="auto"/>
        <w:jc w:val="both"/>
        <w:rPr>
          <w:rFonts w:ascii="Times New Roman" w:hAnsi="Times New Roman" w:cs="Times New Roman"/>
          <w:color w:val="000000"/>
          <w:sz w:val="24"/>
          <w:szCs w:val="24"/>
          <w:shd w:val="clear" w:color="auto" w:fill="FFFFFF"/>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CC6F2A" w:rsidRPr="00BE0E8C" w:rsidRDefault="00CC6F2A" w:rsidP="00CC6F2A">
      <w:pPr>
        <w:shd w:val="clear" w:color="auto" w:fill="FFFFFF"/>
        <w:spacing w:after="0" w:line="240" w:lineRule="auto"/>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CC6F2A" w:rsidRPr="00BE0E8C" w:rsidRDefault="00CC6F2A" w:rsidP="00CC6F2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CC6F2A" w:rsidRPr="00BE0E8C" w:rsidRDefault="00CC6F2A" w:rsidP="00CC6F2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(DoR) or Department of Supervision (DoS) of RBI including those to select Regulated Entities (REs), by way of circular or advisory, the timeline would be with immediate effect or as per the timelines already prescribed.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CC6F2A" w:rsidRPr="00BE0E8C" w:rsidRDefault="00CC6F2A" w:rsidP="00CC6F2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CC6F2A" w:rsidRPr="00BE0E8C" w:rsidRDefault="00CC6F2A" w:rsidP="00CC6F2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CC6F2A" w:rsidRPr="00BE0E8C" w:rsidRDefault="00CC6F2A" w:rsidP="00CC6F2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CC6F2A" w:rsidRPr="00BE0E8C" w:rsidRDefault="00CC6F2A" w:rsidP="00CC6F2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GENERAL CONTROLS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CC6F2A" w:rsidRPr="00BE0E8C" w:rsidRDefault="00CC6F2A" w:rsidP="00CC6F2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w:t>
      </w:r>
      <w:r w:rsidRPr="00BE0E8C">
        <w:rPr>
          <w:rFonts w:ascii="Times New Roman" w:eastAsia="Times New Roman" w:hAnsi="Times New Roman" w:cs="Times New Roman"/>
          <w:color w:val="000000"/>
          <w:sz w:val="24"/>
          <w:szCs w:val="24"/>
          <w:lang w:eastAsia="en-IN"/>
        </w:rPr>
        <w:lastRenderedPageBreak/>
        <w:t>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REs shall incorporate appropriate processes into their governance and risk management programs for identifying, analysing,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benchmarks to detect and address adverse trends or concerns in a timely manner and modify the business plan/ strategy involving the product, when appropriate, based on the security performance of the product or service.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CC6F2A" w:rsidRPr="00BE0E8C" w:rsidRDefault="00CC6F2A" w:rsidP="00CC6F2A">
      <w:pPr>
        <w:pStyle w:val="ListParagraph"/>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Compatibility aspects.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34"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minimise risk.</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15. REs shall implement Web Application Firewall (WAF) solution and DDoS mitigation techniques to secure the digital payment products and services offered over Internet.</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35"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and internet banking application should have effective logging and monitoring capabilities to track user activity, security changes and identify anomalous behaviour and transactions.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22. REs (including those partnering with other entities to co-brand/ co-develop applications) shall adopt and incorporate a threat modelling approach during application lifecycle management into their policies, processes, guidelines and procedures.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CC6F2A" w:rsidRPr="00BE0E8C" w:rsidRDefault="00CC6F2A" w:rsidP="00CC6F2A">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The VA shall be conducted at least on a half-yearly basis; PT shall be conducted at least on a yearly basis. In addition, VA/PT shall be conducted as and when any new IT </w:t>
      </w:r>
      <w:r w:rsidRPr="00BE0E8C">
        <w:rPr>
          <w:rFonts w:ascii="Times New Roman" w:eastAsia="Times New Roman" w:hAnsi="Times New Roman" w:cs="Times New Roman"/>
          <w:color w:val="000000"/>
          <w:sz w:val="24"/>
          <w:szCs w:val="24"/>
          <w:lang w:eastAsia="en-IN"/>
        </w:rPr>
        <w:lastRenderedPageBreak/>
        <w:t>Infrastructure or digital payment application is introduced or when any major change is performed in application or infrastructure;</w:t>
      </w:r>
    </w:p>
    <w:p w:rsidR="00CC6F2A" w:rsidRPr="00BE0E8C" w:rsidRDefault="00CC6F2A" w:rsidP="00CC6F2A">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CC6F2A" w:rsidRPr="00BE0E8C" w:rsidRDefault="00CC6F2A" w:rsidP="00CC6F2A">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CC6F2A" w:rsidRPr="00BE0E8C" w:rsidRDefault="00CC6F2A" w:rsidP="00CC6F2A">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27. REs shall ensure that all vulnerability scanning is performed in authenticated mode either with agents running locally on the system to analyse the security configuration or with remote scanners that are given administrative rights on the system being tested.</w:t>
      </w:r>
      <w:hyperlink r:id="rId36"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29. REs shall institute a mechanism to actively monitor for the non-genuine/ unauthorised/ malicious applications (with similar name/ features) on popular app-stores and the Web and respond accordingly to bring them down.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 The server at the RE’s end should have adequate checks and balances to ensure that no transaction is carried out through non-genuine/ unauthorised digital payment products/ applications and the authentication process is robust, secure and centralised.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w:t>
      </w:r>
      <w:r w:rsidRPr="00BE0E8C">
        <w:rPr>
          <w:rFonts w:ascii="Times New Roman" w:eastAsia="Times New Roman" w:hAnsi="Times New Roman" w:cs="Times New Roman"/>
          <w:color w:val="000000"/>
          <w:sz w:val="24"/>
          <w:szCs w:val="24"/>
          <w:lang w:eastAsia="en-IN"/>
        </w:rPr>
        <w:lastRenderedPageBreak/>
        <w:t>Mobile Top 10, application security guidelines/ requirements developed/ shared by operating system providers/ OEMs.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34. REs may also adopt adaptive authentication to select the right authentication factors depending on risk assessment, user risk profile and behaviour.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CC6F2A" w:rsidRPr="00BE0E8C" w:rsidRDefault="00CC6F2A" w:rsidP="00CC6F2A">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CC6F2A" w:rsidRPr="00BE0E8C" w:rsidRDefault="00CC6F2A" w:rsidP="00CC6F2A">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CC6F2A" w:rsidRPr="00BE0E8C" w:rsidRDefault="00CC6F2A" w:rsidP="00CC6F2A">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CC6F2A" w:rsidRPr="00BE0E8C" w:rsidRDefault="00CC6F2A" w:rsidP="00CC6F2A">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CC6F2A" w:rsidRPr="00BE0E8C" w:rsidRDefault="00CC6F2A" w:rsidP="00CC6F2A">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w:t>
      </w:r>
      <w:r w:rsidRPr="00BE0E8C">
        <w:rPr>
          <w:rFonts w:ascii="Times New Roman" w:eastAsia="Times New Roman" w:hAnsi="Times New Roman" w:cs="Times New Roman"/>
          <w:color w:val="000000"/>
          <w:sz w:val="24"/>
          <w:szCs w:val="24"/>
          <w:lang w:eastAsia="en-IN"/>
        </w:rPr>
        <w:lastRenderedPageBreak/>
        <w:t>the data in transit is secured and the transactions are authenticated only by genuine/ authorised source/ process.</w:t>
      </w:r>
    </w:p>
    <w:p w:rsidR="00CC6F2A" w:rsidRPr="00BE0E8C" w:rsidRDefault="00CC6F2A" w:rsidP="00CC6F2A">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36. The REs shall document and implement the configuration aspects for identifying suspicious transactional behaviour in respect of rules, preventive, detective types of controls, mechanism to alert the customers in case of failed authentication, time frame for the same, etc.</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37. System alerts shall be parameterised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an account generation attack), new account parameters (excessive activity on a new account), time zones, geo-locations, IP address origin (in respect of unusual patterns, prohibited zones/ rogue IPs), behavioural biometrics, transaction origination from point of compromise, transactions to mobile wallets/ mobile numbers/ VPAs on whom vishing fraud or other types of fraud is/are registered/ recorded, declined transactions, transactions with no approval code, etc.</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CC6F2A" w:rsidRPr="00BE0E8C" w:rsidRDefault="00CC6F2A" w:rsidP="00CC6F2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CC6F2A" w:rsidRPr="00BE0E8C" w:rsidRDefault="00CC6F2A" w:rsidP="00CC6F2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Investigative techniques and procedures;</w:t>
      </w:r>
    </w:p>
    <w:p w:rsidR="00CC6F2A" w:rsidRPr="00BE0E8C" w:rsidRDefault="00CC6F2A" w:rsidP="00CC6F2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CC6F2A" w:rsidRPr="00BE0E8C" w:rsidRDefault="00CC6F2A" w:rsidP="00CC6F2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CC6F2A" w:rsidRPr="00BE0E8C" w:rsidRDefault="00CC6F2A" w:rsidP="00CC6F2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CC6F2A" w:rsidRPr="00BE0E8C" w:rsidRDefault="00CC6F2A" w:rsidP="00CC6F2A">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(i)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Customer Protection, Awareness and Grievance Redressal Mechanism</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facility on the application shall provide an option for registering a grievance. Customer dispute handling, reporting and resolution procedures, including the expected timelines for the RE's response should be clearly defined.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37"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authorised sources, having anti-malware/ anti-virus applications on devices, etc.</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w:t>
      </w:r>
      <w:r w:rsidRPr="00BE0E8C">
        <w:rPr>
          <w:rFonts w:ascii="Times New Roman" w:eastAsia="Times New Roman" w:hAnsi="Times New Roman" w:cs="Times New Roman"/>
          <w:color w:val="000000"/>
          <w:sz w:val="24"/>
          <w:szCs w:val="24"/>
          <w:lang w:eastAsia="en-IN"/>
        </w:rPr>
        <w:lastRenderedPageBreak/>
        <w:t>readily available to customers within the product. All digital channels are to be offered on express willingness of customers and shall not be bundled without their knowledge.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47. Whenever new operating features or functions, particularly those relating to security, integrity and authentication, are introduced to online delivery channels, clear and effective communication followed by sufficient instructions to properly utilise such new features should be provided to the customers.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 REs should provide a mechanism on their mobile and internet banking application for their customers to, with necessary authentication, identify/ mark a transaction as fraudulent for seamless and immediate notification to his RE. On such notification by the customer, the REs may endeavour to build the capability for seamless/ instant reporting of fraudulent transactions to the corresponding beneficiary/ counterparty’s RE; vice-versa have mechanism to receive such fraudulent transactions reported from other REs. The objective of this mechanism is to accelerate early detection and enable the banking/ payment system to trace the transaction trail and mitigate the loss to the defrauded customer at the earliest possible time.</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38"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(DoS) attacks. Based on the RE’s individual risk/ vulnerability assessment on authentication-related attacks such as brute force/ DoS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measures shall be taken to prevent DNS cache poisoning attacks and for secure handling of cookies. Virtual keyboard option should be made available.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(eg: in case of payment of taxes, e-commerce transactions, etc.), the procedure for authentication and the appearance/ look and feel of the RE’s internet banking site should be made uniform as far as possible.</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39"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CC6F2A" w:rsidRPr="00BE0E8C" w:rsidRDefault="00CC6F2A" w:rsidP="00CC6F2A">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59. Checksum of current active version of application shall be hosted on public platform so that users can verify the same.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40"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recognised certificate authority; expiry/ revocation of the certificate must be displayed to the user.</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CC6F2A" w:rsidRPr="00BE0E8C" w:rsidRDefault="00CC6F2A" w:rsidP="00CC6F2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41"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67. REs shall follow various payment card standards (over and above PCI-DSS and PA-DSS</w:t>
      </w:r>
      <w:hyperlink r:id="rId42"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CC6F2A" w:rsidRPr="00BE0E8C" w:rsidRDefault="00CC6F2A" w:rsidP="00CC6F2A">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CC6F2A" w:rsidRPr="00BE0E8C" w:rsidRDefault="00CC6F2A" w:rsidP="00CC6F2A">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PCI-PTS (security approval framework addresses the logical and/ or physical protection of cardholder and other sensitive data at point of interaction (POI) devices and hardware security modules (HSMs);</w:t>
      </w:r>
    </w:p>
    <w:p w:rsidR="00CC6F2A" w:rsidRPr="00BE0E8C" w:rsidRDefault="00CC6F2A" w:rsidP="00CC6F2A">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CC6F2A" w:rsidRPr="00BE0E8C" w:rsidRDefault="00CC6F2A" w:rsidP="00CC6F2A">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68. REs should ensure that terminals installed at the merchants for capturing card details for payments or otherwise are validated against the PCI-P2PE program to use PCI-approved P2PE solutions; PoS terminals with PIN entry installed at the merchants for capturing card payments (including the double swipe terminals) are approved by the PCI-PTS program.</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CC6F2A" w:rsidRPr="00BE0E8C" w:rsidRDefault="00CC6F2A" w:rsidP="00CC6F2A">
      <w:pPr>
        <w:pStyle w:val="ListParagraph"/>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CC6F2A" w:rsidRPr="00BE0E8C" w:rsidRDefault="00CC6F2A" w:rsidP="00CC6F2A">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security measures such as BIOS password, disabling USB ports, disabling auto-run facility, applying the latest patches of operating system and other softwares, terminal security solution, time-based admin access, etc;</w:t>
      </w:r>
    </w:p>
    <w:p w:rsidR="00CC6F2A" w:rsidRPr="00BE0E8C" w:rsidRDefault="00CC6F2A" w:rsidP="00CC6F2A">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CC6F2A" w:rsidRPr="00BE0E8C" w:rsidRDefault="00CC6F2A" w:rsidP="00CC6F2A">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C6F2A" w:rsidRPr="00BE0E8C" w:rsidRDefault="00CC6F2A" w:rsidP="00CC6F2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CC6F2A" w:rsidRPr="00BE0E8C" w:rsidRDefault="00CC6F2A" w:rsidP="00CC6F2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CC6F2A" w:rsidRPr="00BE0E8C" w:rsidRDefault="00CC6F2A" w:rsidP="00CC6F2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CC6F2A" w:rsidRPr="00BE0E8C" w:rsidRDefault="00CC6F2A" w:rsidP="00CC6F2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CC6F2A" w:rsidRPr="00BE0E8C" w:rsidRDefault="00CC6F2A" w:rsidP="00CC6F2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CC6F2A" w:rsidRPr="00BE0E8C" w:rsidRDefault="00CC6F2A" w:rsidP="00CC6F2A">
      <w:pPr>
        <w:numPr>
          <w:ilvl w:val="0"/>
          <w:numId w:val="17"/>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Limited access to service providers to conduct the scan or analyse the data, if at all, must be provided only on the RE’s devices.</w:t>
      </w:r>
    </w:p>
    <w:p w:rsidR="00CC6F2A" w:rsidRPr="00BE0E8C" w:rsidRDefault="00CC6F2A" w:rsidP="00CC6F2A">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CC6F2A" w:rsidRPr="00BE0E8C" w:rsidRDefault="008A2E1D" w:rsidP="00CC6F2A">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43" w:history="1">
        <w:r w:rsidR="00CC6F2A" w:rsidRPr="00BE0E8C">
          <w:rPr>
            <w:rStyle w:val="Hyperlink"/>
            <w:rFonts w:ascii="Times New Roman" w:eastAsia="Times New Roman" w:hAnsi="Times New Roman" w:cs="Times New Roman"/>
            <w:sz w:val="24"/>
            <w:szCs w:val="24"/>
            <w:lang w:eastAsia="en-IN"/>
          </w:rPr>
          <w:t>https://www.rbi.org.in/Scripts/NotificationUser.aspx?Id=12032&amp;Mode=0</w:t>
        </w:r>
      </w:hyperlink>
      <w:r w:rsidR="00CC6F2A" w:rsidRPr="00BE0E8C">
        <w:rPr>
          <w:rFonts w:ascii="Times New Roman" w:eastAsia="Times New Roman" w:hAnsi="Times New Roman" w:cs="Times New Roman"/>
          <w:color w:val="000000"/>
          <w:sz w:val="24"/>
          <w:szCs w:val="24"/>
          <w:lang w:eastAsia="en-IN"/>
        </w:rPr>
        <w:t xml:space="preserve"> </w:t>
      </w:r>
    </w:p>
    <w:p w:rsidR="00CC6F2A" w:rsidRPr="00BE0E8C" w:rsidRDefault="00CC6F2A" w:rsidP="00CC6F2A">
      <w:pPr>
        <w:spacing w:after="0" w:line="240" w:lineRule="auto"/>
        <w:jc w:val="both"/>
        <w:rPr>
          <w:rFonts w:ascii="Times New Roman" w:hAnsi="Times New Roman" w:cs="Times New Roman"/>
          <w:b/>
          <w:bCs/>
          <w:color w:val="000000"/>
          <w:sz w:val="24"/>
          <w:szCs w:val="24"/>
        </w:rPr>
      </w:pPr>
    </w:p>
    <w:p w:rsidR="00BD3115" w:rsidRDefault="008A2E1D" w:rsidP="00BD3115">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bookmarkStart w:id="0" w:name="_GoBack"/>
      <w:bookmarkEnd w:id="0"/>
      <w:r w:rsidR="00BD3115" w:rsidRPr="00902A83">
        <w:rPr>
          <w:rFonts w:ascii="Times New Roman" w:hAnsi="Times New Roman" w:cs="Times New Roman"/>
          <w:b/>
          <w:bCs/>
          <w:color w:val="000000"/>
          <w:sz w:val="24"/>
          <w:szCs w:val="24"/>
        </w:rPr>
        <w:t>Booklet on Payment Systems in India</w:t>
      </w:r>
      <w:r w:rsidR="00BD3115">
        <w:rPr>
          <w:rFonts w:ascii="Times New Roman" w:hAnsi="Times New Roman" w:cs="Times New Roman"/>
          <w:b/>
          <w:bCs/>
          <w:color w:val="000000"/>
          <w:sz w:val="24"/>
          <w:szCs w:val="24"/>
        </w:rPr>
        <w:tab/>
      </w:r>
      <w:r w:rsidR="00BD3115">
        <w:rPr>
          <w:rFonts w:ascii="Times New Roman" w:hAnsi="Times New Roman" w:cs="Times New Roman"/>
          <w:b/>
          <w:bCs/>
          <w:color w:val="000000"/>
          <w:sz w:val="24"/>
          <w:szCs w:val="24"/>
        </w:rPr>
        <w:tab/>
      </w:r>
      <w:r w:rsidR="00BD3115">
        <w:rPr>
          <w:rFonts w:ascii="Times New Roman" w:hAnsi="Times New Roman" w:cs="Times New Roman"/>
          <w:b/>
          <w:bCs/>
          <w:color w:val="000000"/>
          <w:sz w:val="24"/>
          <w:szCs w:val="24"/>
        </w:rPr>
        <w:tab/>
      </w:r>
      <w:r w:rsidR="00BD3115">
        <w:rPr>
          <w:rFonts w:ascii="Times New Roman" w:hAnsi="Times New Roman" w:cs="Times New Roman"/>
          <w:b/>
          <w:bCs/>
          <w:color w:val="000000"/>
          <w:sz w:val="24"/>
          <w:szCs w:val="24"/>
        </w:rPr>
        <w:tab/>
      </w:r>
      <w:r w:rsidR="00BD3115">
        <w:rPr>
          <w:rFonts w:ascii="Times New Roman" w:hAnsi="Times New Roman" w:cs="Times New Roman"/>
          <w:b/>
          <w:bCs/>
          <w:color w:val="000000"/>
          <w:sz w:val="24"/>
          <w:szCs w:val="24"/>
        </w:rPr>
        <w:tab/>
        <w:t>25 Jan 2021</w:t>
      </w:r>
    </w:p>
    <w:p w:rsidR="00BD3115" w:rsidRDefault="00BD3115" w:rsidP="00BD3115">
      <w:pPr>
        <w:spacing w:after="0" w:line="240" w:lineRule="auto"/>
        <w:jc w:val="both"/>
        <w:rPr>
          <w:rFonts w:ascii="Times New Roman" w:hAnsi="Times New Roman" w:cs="Times New Roman"/>
          <w:b/>
          <w:bCs/>
          <w:color w:val="000000"/>
          <w:sz w:val="24"/>
          <w:szCs w:val="24"/>
        </w:rPr>
      </w:pPr>
    </w:p>
    <w:p w:rsidR="00BD3115" w:rsidRPr="00C203D8" w:rsidRDefault="00BD3115" w:rsidP="00BD311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today released the </w:t>
      </w:r>
      <w:hyperlink r:id="rId44"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BD3115" w:rsidRPr="00C203D8" w:rsidRDefault="00BD3115" w:rsidP="00BD311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BD3115" w:rsidRPr="00C203D8" w:rsidRDefault="00BD3115" w:rsidP="00BD311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BD3115" w:rsidRDefault="00BD3115" w:rsidP="00BD3115">
      <w:pPr>
        <w:spacing w:after="0" w:line="240" w:lineRule="auto"/>
        <w:jc w:val="both"/>
        <w:rPr>
          <w:rFonts w:ascii="Times New Roman" w:hAnsi="Times New Roman" w:cs="Times New Roman"/>
          <w:color w:val="000000"/>
          <w:sz w:val="24"/>
          <w:szCs w:val="24"/>
        </w:rPr>
      </w:pPr>
    </w:p>
    <w:p w:rsidR="00BD3115" w:rsidRDefault="008A2E1D" w:rsidP="00BD3115">
      <w:pPr>
        <w:pBdr>
          <w:bottom w:val="single" w:sz="12" w:space="1" w:color="auto"/>
        </w:pBdr>
        <w:spacing w:after="0" w:line="240" w:lineRule="auto"/>
        <w:jc w:val="both"/>
        <w:rPr>
          <w:rFonts w:ascii="Times New Roman" w:hAnsi="Times New Roman" w:cs="Times New Roman"/>
          <w:color w:val="000000"/>
          <w:sz w:val="24"/>
          <w:szCs w:val="24"/>
        </w:rPr>
      </w:pPr>
      <w:hyperlink r:id="rId45" w:history="1">
        <w:r w:rsidR="00BD3115" w:rsidRPr="003A2F80">
          <w:rPr>
            <w:rStyle w:val="Hyperlink"/>
            <w:rFonts w:ascii="Times New Roman" w:hAnsi="Times New Roman" w:cs="Times New Roman"/>
            <w:sz w:val="24"/>
            <w:szCs w:val="24"/>
          </w:rPr>
          <w:t>https://rbidocs.rbi.org.in/rdocs/Publications/PDFs/PSSBOOKLET93D3AEFDEAF14044BC1BB36662C41A8C.PDF</w:t>
        </w:r>
      </w:hyperlink>
    </w:p>
    <w:p w:rsidR="007E6C79" w:rsidRPr="00174F55" w:rsidRDefault="007E6C79">
      <w:pPr>
        <w:rPr>
          <w:b/>
          <w:color w:val="2E74B5" w:themeColor="accent1" w:themeShade="BF"/>
        </w:rPr>
      </w:pPr>
    </w:p>
    <w:sectPr w:rsidR="007E6C79" w:rsidRPr="0017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006"/>
    <w:multiLevelType w:val="multilevel"/>
    <w:tmpl w:val="33ACC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7737E7"/>
    <w:multiLevelType w:val="multilevel"/>
    <w:tmpl w:val="B8D2C8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7E722DD"/>
    <w:multiLevelType w:val="multilevel"/>
    <w:tmpl w:val="2A3EEAF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7"/>
  </w:num>
  <w:num w:numId="3">
    <w:abstractNumId w:val="11"/>
  </w:num>
  <w:num w:numId="4">
    <w:abstractNumId w:val="15"/>
  </w:num>
  <w:num w:numId="5">
    <w:abstractNumId w:val="0"/>
  </w:num>
  <w:num w:numId="6">
    <w:abstractNumId w:val="13"/>
  </w:num>
  <w:num w:numId="7">
    <w:abstractNumId w:val="4"/>
  </w:num>
  <w:num w:numId="8">
    <w:abstractNumId w:val="12"/>
  </w:num>
  <w:num w:numId="9">
    <w:abstractNumId w:val="10"/>
  </w:num>
  <w:num w:numId="10">
    <w:abstractNumId w:val="16"/>
  </w:num>
  <w:num w:numId="11">
    <w:abstractNumId w:val="2"/>
  </w:num>
  <w:num w:numId="12">
    <w:abstractNumId w:val="8"/>
  </w:num>
  <w:num w:numId="13">
    <w:abstractNumId w:val="14"/>
  </w:num>
  <w:num w:numId="14">
    <w:abstractNumId w:val="3"/>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174F55"/>
    <w:rsid w:val="002F036D"/>
    <w:rsid w:val="004070E0"/>
    <w:rsid w:val="00431C6D"/>
    <w:rsid w:val="00432068"/>
    <w:rsid w:val="00731C1A"/>
    <w:rsid w:val="007E6C79"/>
    <w:rsid w:val="0086113C"/>
    <w:rsid w:val="008A2E1D"/>
    <w:rsid w:val="00A20D26"/>
    <w:rsid w:val="00A939C1"/>
    <w:rsid w:val="00A9427F"/>
    <w:rsid w:val="00A9777D"/>
    <w:rsid w:val="00B77E4A"/>
    <w:rsid w:val="00BD3115"/>
    <w:rsid w:val="00BF6C68"/>
    <w:rsid w:val="00C26590"/>
    <w:rsid w:val="00C87A02"/>
    <w:rsid w:val="00CC6F2A"/>
    <w:rsid w:val="00E42839"/>
    <w:rsid w:val="00EB19AA"/>
    <w:rsid w:val="00F4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7039"/>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C7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7E6C79"/>
    <w:rPr>
      <w:color w:val="0000FF"/>
      <w:u w:val="single"/>
    </w:rPr>
  </w:style>
  <w:style w:type="paragraph" w:customStyle="1" w:styleId="head">
    <w:name w:val="head"/>
    <w:basedOn w:val="Normal"/>
    <w:rsid w:val="0086113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CC6F2A"/>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6448">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FS_Notification.aspx?Id=11243&amp;fn=2&amp;Mode=0" TargetMode="External"/><Relationship Id="rId13" Type="http://schemas.openxmlformats.org/officeDocument/2006/relationships/hyperlink" Target="https://rbi.org.in/Scripts/NotificationUser.aspx?Id=10004&amp;Mode=0" TargetMode="External"/><Relationship Id="rId18" Type="http://schemas.openxmlformats.org/officeDocument/2006/relationships/hyperlink" Target="https://www.rbi.org.in/Scripts/NotificationUser.aspx?Id=12002&amp;Mode=0" TargetMode="External"/><Relationship Id="rId26" Type="http://schemas.openxmlformats.org/officeDocument/2006/relationships/hyperlink" Target="https://www.rbi.org.in/Scripts/NotificationUser.aspx?Id=10037&amp;Mode=0" TargetMode="External"/><Relationship Id="rId39" Type="http://schemas.openxmlformats.org/officeDocument/2006/relationships/hyperlink" Target="https://www.rbi.org.in/Scripts/NotificationUser.aspx?Id=12032&amp;Mode=0" TargetMode="External"/><Relationship Id="rId3" Type="http://schemas.openxmlformats.org/officeDocument/2006/relationships/settings" Target="settings.xml"/><Relationship Id="rId21" Type="http://schemas.openxmlformats.org/officeDocument/2006/relationships/hyperlink" Target="https://rbi.org.in/Scripts/NotificationUser.aspx?Id=11822&amp;Mode=0" TargetMode="External"/><Relationship Id="rId34" Type="http://schemas.openxmlformats.org/officeDocument/2006/relationships/hyperlink" Target="https://www.rbi.org.in/Scripts/NotificationUser.aspx?Id=12032&amp;Mode=0" TargetMode="External"/><Relationship Id="rId42" Type="http://schemas.openxmlformats.org/officeDocument/2006/relationships/hyperlink" Target="https://www.rbi.org.in/Scripts/NotificationUser.aspx?Id=12032&amp;Mode=0" TargetMode="External"/><Relationship Id="rId47" Type="http://schemas.openxmlformats.org/officeDocument/2006/relationships/theme" Target="theme/theme1.xml"/><Relationship Id="rId7" Type="http://schemas.openxmlformats.org/officeDocument/2006/relationships/hyperlink" Target="https://www.rbi.org.in/Scripts/NotificationUser.aspx?Id=10775&amp;Mode=0" TargetMode="External"/><Relationship Id="rId12" Type="http://schemas.openxmlformats.org/officeDocument/2006/relationships/hyperlink" Target="https://rbi.org.in/Scripts/BS_ViewMasDirections.aspx?id=11142" TargetMode="External"/><Relationship Id="rId17" Type="http://schemas.openxmlformats.org/officeDocument/2006/relationships/hyperlink" Target="https://www.rbi.org.in/Scripts/NotificationUser.aspx?Id=11784&amp;Mode=0" TargetMode="External"/><Relationship Id="rId25" Type="http://schemas.openxmlformats.org/officeDocument/2006/relationships/hyperlink" Target="https://www.rbi.org.in/Scripts/NotificationUser.aspx?Id=11910&amp;Mode=0" TargetMode="External"/><Relationship Id="rId33" Type="http://schemas.openxmlformats.org/officeDocument/2006/relationships/hyperlink" Target="https://www.rbi.org.in/Scripts/NotificationUser.aspx?Id=12032&amp;Mode=0" TargetMode="External"/><Relationship Id="rId38" Type="http://schemas.openxmlformats.org/officeDocument/2006/relationships/hyperlink" Target="https://www.rbi.org.in/Scripts/NotificationUser.aspx?Id=12032&amp;Mode=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i.org.in/Scripts/NotificationUser.aspx?Id=11668&amp;Mode=0" TargetMode="External"/><Relationship Id="rId20" Type="http://schemas.openxmlformats.org/officeDocument/2006/relationships/hyperlink" Target="https://www.rbi.org.in/Scripts/NotificationUser.aspx?Id=12050&amp;Mode=0" TargetMode="External"/><Relationship Id="rId29" Type="http://schemas.openxmlformats.org/officeDocument/2006/relationships/hyperlink" Target="https://www.rbi.org.in/Scripts/NotificationUser.aspx?Id=12050&amp;Mode=0" TargetMode="External"/><Relationship Id="rId41" Type="http://schemas.openxmlformats.org/officeDocument/2006/relationships/hyperlink" Target="https://www.rbi.org.in/Scripts/NotificationUser.aspx?Id=12032&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9170&amp;Mode=0" TargetMode="External"/><Relationship Id="rId11" Type="http://schemas.openxmlformats.org/officeDocument/2006/relationships/hyperlink" Target="https://rbi.org.in/Scripts/NotificationUser.aspx?Id=11393&amp;Mode=0" TargetMode="External"/><Relationship Id="rId24" Type="http://schemas.openxmlformats.org/officeDocument/2006/relationships/hyperlink" Target="https://rbi.org.in/Scripts/NotificationUser.aspx?Id=11822&amp;Mode=0" TargetMode="External"/><Relationship Id="rId32" Type="http://schemas.openxmlformats.org/officeDocument/2006/relationships/hyperlink" Target="https://www.rbi.org.in/Scripts/NotificationUser.aspx?Id=12032&amp;Mode=0" TargetMode="External"/><Relationship Id="rId37" Type="http://schemas.openxmlformats.org/officeDocument/2006/relationships/hyperlink" Target="https://www.rbi.org.in/Scripts/NotificationUser.aspx?Id=12032&amp;Mode=0" TargetMode="External"/><Relationship Id="rId40" Type="http://schemas.openxmlformats.org/officeDocument/2006/relationships/hyperlink" Target="https://www.rbi.org.in/Scripts/NotificationUser.aspx?Id=12032&amp;Mode=0" TargetMode="External"/><Relationship Id="rId45" Type="http://schemas.openxmlformats.org/officeDocument/2006/relationships/hyperlink" Target="https://rbidocs.rbi.org.in/rdocs/Publications/PDFs/PSSBOOKLET93D3AEFDEAF14044BC1BB36662C41A8C.PDF" TargetMode="External"/><Relationship Id="rId5" Type="http://schemas.openxmlformats.org/officeDocument/2006/relationships/hyperlink" Target="https://www.rbi.org.in/Scripts/BS_PressReleaseDisplay.aspx?prid=47270" TargetMode="External"/><Relationship Id="rId15" Type="http://schemas.openxmlformats.org/officeDocument/2006/relationships/hyperlink" Target="https://www.rbi.org.in/Scripts/NotificationUser.aspx?Id=12094&amp;Mode=0" TargetMode="External"/><Relationship Id="rId23" Type="http://schemas.openxmlformats.org/officeDocument/2006/relationships/hyperlink" Target="https://rbi.org.in/Scripts/NotificationUser.aspx?Id=11822&amp;Mode=0" TargetMode="External"/><Relationship Id="rId28" Type="http://schemas.openxmlformats.org/officeDocument/2006/relationships/hyperlink" Target="https://www.rbi.org.in/Scripts/NotificationUser.aspx?Id=5379&amp;Mode=0" TargetMode="External"/><Relationship Id="rId36" Type="http://schemas.openxmlformats.org/officeDocument/2006/relationships/hyperlink" Target="https://www.rbi.org.in/Scripts/NotificationUser.aspx?Id=12032&amp;Mode=0" TargetMode="External"/><Relationship Id="rId10" Type="http://schemas.openxmlformats.org/officeDocument/2006/relationships/hyperlink" Target="https://rbi.org.in/Scripts/BS_ViewMasDirections.aspx?id=11142" TargetMode="External"/><Relationship Id="rId19" Type="http://schemas.openxmlformats.org/officeDocument/2006/relationships/hyperlink" Target="https://rbi.org.in/Scripts/NotificationUser.aspx?Id=11822&amp;Mode=0" TargetMode="External"/><Relationship Id="rId31" Type="http://schemas.openxmlformats.org/officeDocument/2006/relationships/hyperlink" Target="mailto:helpdpss@rbi.org.in" TargetMode="External"/><Relationship Id="rId44" Type="http://schemas.openxmlformats.org/officeDocument/2006/relationships/hyperlink" Target="https://www.rbi.org.in/Scripts/OccasionalPublications.aspx?head=Payment%20Systems%20in%20India%20-%20Booklet" TargetMode="External"/><Relationship Id="rId4" Type="http://schemas.openxmlformats.org/officeDocument/2006/relationships/webSettings" Target="webSettings.xml"/><Relationship Id="rId9" Type="http://schemas.openxmlformats.org/officeDocument/2006/relationships/hyperlink" Target="https://rbi.org.in/Scripts/BS_PressReleaseDisplay.aspx?prid=51382" TargetMode="External"/><Relationship Id="rId14" Type="http://schemas.openxmlformats.org/officeDocument/2006/relationships/hyperlink" Target="https://rbi.org.in/Scripts/BS_ViewMasDirections.aspx?id=11142" TargetMode="External"/><Relationship Id="rId22" Type="http://schemas.openxmlformats.org/officeDocument/2006/relationships/hyperlink" Target="https://rbi.org.in/Scripts/NotificationUser.aspx?Id=11449&amp;Mode=0" TargetMode="External"/><Relationship Id="rId27" Type="http://schemas.openxmlformats.org/officeDocument/2006/relationships/hyperlink" Target="https://www.rbi.org.in/Scripts/NotificationUser.aspx?Id=10037&amp;Mode=0" TargetMode="External"/><Relationship Id="rId30" Type="http://schemas.openxmlformats.org/officeDocument/2006/relationships/hyperlink" Target="https://www.rbi.org.in/Scripts/BS_PressReleaseDisplay.aspx?prid=51078" TargetMode="External"/><Relationship Id="rId35" Type="http://schemas.openxmlformats.org/officeDocument/2006/relationships/hyperlink" Target="https://www.rbi.org.in/Scripts/NotificationUser.aspx?Id=12032&amp;Mode=0" TargetMode="External"/><Relationship Id="rId43" Type="http://schemas.openxmlformats.org/officeDocument/2006/relationships/hyperlink" Target="https://www.rbi.org.in/Scripts/NotificationUser.aspx?Id=1203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10234</Words>
  <Characters>58339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3</cp:revision>
  <dcterms:created xsi:type="dcterms:W3CDTF">2021-07-17T14:21:00Z</dcterms:created>
  <dcterms:modified xsi:type="dcterms:W3CDTF">2021-07-17T14:21:00Z</dcterms:modified>
</cp:coreProperties>
</file>