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7F7D" w14:textId="151BD80D" w:rsidR="001C3B05" w:rsidRPr="008A4BBA" w:rsidRDefault="009F65FC" w:rsidP="009F65FC">
      <w:pPr>
        <w:jc w:val="center"/>
        <w:rPr>
          <w:b/>
          <w:bCs/>
          <w:sz w:val="28"/>
          <w:lang w:val="en-US"/>
        </w:rPr>
      </w:pPr>
      <w:r w:rsidRPr="008A4BBA">
        <w:rPr>
          <w:b/>
          <w:bCs/>
          <w:sz w:val="28"/>
          <w:lang w:val="en-US"/>
        </w:rPr>
        <w:t>CERT</w:t>
      </w:r>
      <w:r w:rsidR="009C3434" w:rsidRPr="008A4BBA">
        <w:rPr>
          <w:b/>
          <w:bCs/>
          <w:sz w:val="28"/>
          <w:lang w:val="en-US"/>
        </w:rPr>
        <w:t>IFIED CREDIT PROFESSIONALS</w:t>
      </w:r>
    </w:p>
    <w:tbl>
      <w:tblPr>
        <w:tblW w:w="10916" w:type="dxa"/>
        <w:tblInd w:w="-998" w:type="dxa"/>
        <w:tblLook w:val="04A0" w:firstRow="1" w:lastRow="0" w:firstColumn="1" w:lastColumn="0" w:noHBand="0" w:noVBand="1"/>
      </w:tblPr>
      <w:tblGrid>
        <w:gridCol w:w="993"/>
        <w:gridCol w:w="9923"/>
      </w:tblGrid>
      <w:tr w:rsidR="009F65FC" w:rsidRPr="009F65FC" w14:paraId="5F0157F0" w14:textId="77777777" w:rsidTr="009F65FC">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770F" w14:textId="51B10E5C" w:rsidR="009F65FC" w:rsidRPr="009F65FC" w:rsidRDefault="009F65FC" w:rsidP="009F65FC">
            <w:pPr>
              <w:spacing w:after="0" w:line="240" w:lineRule="auto"/>
              <w:jc w:val="center"/>
              <w:rPr>
                <w:rFonts w:ascii="Calibri" w:eastAsia="Times New Roman" w:hAnsi="Calibri" w:cs="Calibri"/>
                <w:b/>
                <w:bCs/>
                <w:color w:val="000000"/>
                <w:kern w:val="0"/>
                <w:sz w:val="24"/>
                <w:szCs w:val="24"/>
                <w:lang w:eastAsia="en-IN"/>
                <w14:ligatures w14:val="none"/>
              </w:rPr>
            </w:pPr>
            <w:r w:rsidRPr="009F65FC">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45336047" w14:textId="6EDAAF4B" w:rsidR="009F65FC" w:rsidRPr="009F65FC" w:rsidRDefault="003B7175" w:rsidP="009F65FC">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Important</w:t>
            </w:r>
            <w:bookmarkStart w:id="0" w:name="_GoBack"/>
            <w:bookmarkEnd w:id="0"/>
            <w:r w:rsidR="009F65FC" w:rsidRPr="009F65FC">
              <w:rPr>
                <w:rFonts w:ascii="Calibri" w:eastAsia="Times New Roman" w:hAnsi="Calibri" w:cs="Calibri"/>
                <w:b/>
                <w:bCs/>
                <w:color w:val="000000"/>
                <w:kern w:val="0"/>
                <w:sz w:val="24"/>
                <w:szCs w:val="24"/>
                <w:lang w:eastAsia="en-IN"/>
                <w14:ligatures w14:val="none"/>
              </w:rPr>
              <w:t xml:space="preserve"> Notifications</w:t>
            </w:r>
          </w:p>
        </w:tc>
      </w:tr>
      <w:tr w:rsidR="009F65FC" w:rsidRPr="009F65FC" w14:paraId="2A76969C" w14:textId="77777777" w:rsidTr="009F65FC">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5BFE6" w14:textId="4C4F639B"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single" w:sz="4" w:space="0" w:color="auto"/>
              <w:left w:val="nil"/>
              <w:bottom w:val="single" w:sz="4" w:space="0" w:color="auto"/>
              <w:right w:val="single" w:sz="4" w:space="0" w:color="auto"/>
            </w:tcBorders>
            <w:shd w:val="clear" w:color="auto" w:fill="auto"/>
            <w:vAlign w:val="center"/>
          </w:tcPr>
          <w:p w14:paraId="5A0FC7F3" w14:textId="2ECE71A6"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Basel III Capital Regulations - Eligible Credit Rating Agencies</w:t>
            </w:r>
          </w:p>
        </w:tc>
      </w:tr>
      <w:tr w:rsidR="009F65FC" w:rsidRPr="009F65FC" w14:paraId="0C38D05C"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1976B5A" w14:textId="1CAD0335"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38FE3B61"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9F65FC" w:rsidRPr="009F65FC" w14:paraId="4209C17A"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A9DFDE9" w14:textId="3460D030"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1A22BF18"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Revised Regulatory Framework for Urban Co-operative Banks (UCBs) - Net Worth and Capital Adequacy</w:t>
            </w:r>
          </w:p>
        </w:tc>
      </w:tr>
      <w:tr w:rsidR="009F65FC" w:rsidRPr="009F65FC" w14:paraId="142F290E"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B504349" w14:textId="011F834E"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2131F275"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on Credit Facilities to Minority Communities</w:t>
            </w:r>
          </w:p>
        </w:tc>
      </w:tr>
      <w:tr w:rsidR="009F65FC" w:rsidRPr="009F65FC" w14:paraId="29DEE9F8"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046BA8D" w14:textId="30FCEDDA"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646FA377"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9F65FC" w:rsidRPr="009F65FC" w14:paraId="6F9C147E"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7C28B7C" w14:textId="723D859B"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2D6DFD53"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Guarantees, Co-Acceptances &amp; Letters of Credit - UCBs</w:t>
            </w:r>
          </w:p>
        </w:tc>
      </w:tr>
      <w:tr w:rsidR="009F65FC" w:rsidRPr="009F65FC" w14:paraId="3D1A07E8"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1CB2095" w14:textId="3D3B869B"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78ADC2E0"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Guarantees and Co-acceptances</w:t>
            </w:r>
          </w:p>
        </w:tc>
      </w:tr>
      <w:tr w:rsidR="009F65FC" w:rsidRPr="009F65FC" w14:paraId="16A88F57"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AAE24ED" w14:textId="2FA7AAC5"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75CB632C"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Prudential norms on Income Recognition, Asset Classification and Provisioning pertaining to Advances</w:t>
            </w:r>
          </w:p>
        </w:tc>
      </w:tr>
      <w:tr w:rsidR="009F65FC" w:rsidRPr="009F65FC" w14:paraId="30C491D6"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B8FB5ED" w14:textId="4E4F25D3"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33431D37"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Housing Finance</w:t>
            </w:r>
          </w:p>
        </w:tc>
      </w:tr>
      <w:tr w:rsidR="009F65FC" w:rsidRPr="009F65FC" w14:paraId="391FC727"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01B83D5" w14:textId="4D6AFCD3"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3A9D21A0"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Bank Finance to Non-Banking Financial Companies (NBFCs)</w:t>
            </w:r>
          </w:p>
        </w:tc>
      </w:tr>
      <w:tr w:rsidR="009F65FC" w:rsidRPr="009F65FC" w14:paraId="2364A8DF"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327E4BC" w14:textId="1C71F715"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7C7EB14C"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Asset Reconstruction Companies</w:t>
            </w:r>
          </w:p>
        </w:tc>
      </w:tr>
      <w:tr w:rsidR="009F65FC" w:rsidRPr="009F65FC" w14:paraId="3D64640F"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7AF3B04" w14:textId="5B209E98"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4877F7A6"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Master Circular - Housing Finance for UCBs</w:t>
            </w:r>
          </w:p>
        </w:tc>
      </w:tr>
      <w:tr w:rsidR="009F65FC" w:rsidRPr="009F65FC" w14:paraId="5E2FFF17"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F5F7B99" w14:textId="0D710F61"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1D1588DB"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Provisioning for standard assets by primary (Urban) co-operative banks - revised norms under four-tiered regulatory framework</w:t>
            </w:r>
          </w:p>
        </w:tc>
      </w:tr>
      <w:tr w:rsidR="009F65FC" w:rsidRPr="009F65FC" w14:paraId="038E65CC"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25A04C5" w14:textId="4567ADC4"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0275FD98" w14:textId="05A775AA"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 xml:space="preserve">Master Circular - Income Recognition, Asset Classification, Provisioning and Other Related Matters </w:t>
            </w:r>
            <w:r w:rsidR="00572A17">
              <w:rPr>
                <w:rFonts w:ascii="Calibri" w:eastAsia="Times New Roman" w:hAnsi="Calibri" w:cs="Calibri"/>
                <w:color w:val="000000"/>
                <w:kern w:val="0"/>
                <w:sz w:val="24"/>
                <w:szCs w:val="24"/>
                <w:lang w:eastAsia="en-IN"/>
                <w14:ligatures w14:val="none"/>
              </w:rPr>
              <w:t>–</w:t>
            </w:r>
            <w:r w:rsidRPr="009F65FC">
              <w:rPr>
                <w:rFonts w:ascii="Calibri" w:eastAsia="Times New Roman" w:hAnsi="Calibri" w:cs="Calibri"/>
                <w:color w:val="000000"/>
                <w:kern w:val="0"/>
                <w:sz w:val="24"/>
                <w:szCs w:val="24"/>
                <w:lang w:eastAsia="en-IN"/>
                <w14:ligatures w14:val="none"/>
              </w:rPr>
              <w:t xml:space="preserve"> UCBs</w:t>
            </w:r>
          </w:p>
        </w:tc>
      </w:tr>
      <w:tr w:rsidR="009F65FC" w:rsidRPr="009F65FC" w14:paraId="09592012"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8E3F1B9" w14:textId="35821484"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2BBCE991"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Formalisation of Informal Micro Enterprises on Udyam Assist Platform</w:t>
            </w:r>
          </w:p>
        </w:tc>
      </w:tr>
      <w:tr w:rsidR="009F65FC" w:rsidRPr="009F65FC" w14:paraId="6F51618C"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B300E8F" w14:textId="5A59DD66"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3DAB4A62"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LIBOR Transition</w:t>
            </w:r>
          </w:p>
        </w:tc>
      </w:tr>
      <w:tr w:rsidR="009F65FC" w:rsidRPr="009F65FC" w14:paraId="458401C9"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01830CC" w14:textId="448F7CE7"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5B14BC2D"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Framework for Compromise Settlements and Technical Write-offs</w:t>
            </w:r>
          </w:p>
        </w:tc>
      </w:tr>
      <w:tr w:rsidR="009F65FC" w:rsidRPr="009F65FC" w14:paraId="2655F0A2"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4454406" w14:textId="4FB78481" w:rsidR="009F65FC" w:rsidRPr="009F65FC" w:rsidRDefault="009F65FC"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204F8960" w14:textId="77777777" w:rsidR="009F65FC" w:rsidRPr="009F65FC" w:rsidRDefault="009F65FC"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Guidelines on Default Loss Guarantee (DLG) in Digital Lending</w:t>
            </w:r>
          </w:p>
        </w:tc>
      </w:tr>
      <w:tr w:rsidR="007E0DC1" w:rsidRPr="009F65FC" w14:paraId="11FB2871" w14:textId="77777777" w:rsidTr="009F65F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5698DFA" w14:textId="77777777" w:rsidR="007E0DC1" w:rsidRPr="009F65FC" w:rsidRDefault="007E0DC1" w:rsidP="009F65FC">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tcPr>
          <w:p w14:paraId="7D787A5C" w14:textId="0E817892" w:rsidR="007E0DC1" w:rsidRPr="009F65FC" w:rsidRDefault="007E0DC1" w:rsidP="009F65FC">
            <w:pPr>
              <w:spacing w:after="0" w:line="240" w:lineRule="auto"/>
              <w:rPr>
                <w:rFonts w:ascii="Calibri" w:eastAsia="Times New Roman" w:hAnsi="Calibri" w:cs="Calibri"/>
                <w:color w:val="000000"/>
                <w:kern w:val="0"/>
                <w:sz w:val="24"/>
                <w:szCs w:val="24"/>
                <w:lang w:eastAsia="en-IN"/>
                <w14:ligatures w14:val="none"/>
              </w:rPr>
            </w:pPr>
            <w:r w:rsidRPr="009F65FC">
              <w:rPr>
                <w:rFonts w:ascii="Calibri" w:eastAsia="Times New Roman" w:hAnsi="Calibri" w:cs="Calibri"/>
                <w:color w:val="000000"/>
                <w:kern w:val="0"/>
                <w:sz w:val="24"/>
                <w:szCs w:val="24"/>
                <w:lang w:eastAsia="en-IN"/>
                <w14:ligatures w14:val="none"/>
              </w:rPr>
              <w:t>Priority Sector Lending (PSL) targets / sub-targets and contribution against shortfall in achievement of PSL targets - Primary (Urban) Co-operative Banks (UCBs) - Extension of time</w:t>
            </w:r>
          </w:p>
        </w:tc>
      </w:tr>
      <w:tr w:rsidR="00F203DF" w:rsidRPr="009F65FC" w14:paraId="494BF938" w14:textId="77777777" w:rsidTr="008A6C33">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450652E" w14:textId="77777777" w:rsidR="00F203DF" w:rsidRPr="009F65FC" w:rsidRDefault="00F203DF" w:rsidP="00F203DF">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tcPr>
          <w:p w14:paraId="2B4676E5" w14:textId="1E450E51" w:rsidR="00F203DF" w:rsidRPr="009F65FC" w:rsidRDefault="00F203DF" w:rsidP="00F203DF">
            <w:pPr>
              <w:spacing w:after="0" w:line="240" w:lineRule="auto"/>
              <w:rPr>
                <w:rFonts w:ascii="Calibri" w:eastAsia="Times New Roman" w:hAnsi="Calibri" w:cs="Calibri"/>
                <w:color w:val="000000"/>
                <w:kern w:val="0"/>
                <w:sz w:val="24"/>
                <w:szCs w:val="24"/>
                <w:lang w:eastAsia="en-IN"/>
                <w14:ligatures w14:val="none"/>
              </w:rPr>
            </w:pPr>
            <w:r w:rsidRPr="00A256D5">
              <w:rPr>
                <w:rFonts w:eastAsia="Times New Roman" w:cstheme="minorHAnsi"/>
                <w:color w:val="000000"/>
                <w:kern w:val="0"/>
                <w:sz w:val="24"/>
                <w:szCs w:val="24"/>
                <w:lang w:eastAsia="en-IN"/>
                <w14:ligatures w14:val="none"/>
              </w:rPr>
              <w:t>Increase in ceiling of coverage from `200 lakh to `500 lakh – CGS I under CGTMSE</w:t>
            </w:r>
          </w:p>
        </w:tc>
      </w:tr>
      <w:tr w:rsidR="00045DCA" w:rsidRPr="009F65FC" w14:paraId="614FFAF4" w14:textId="77777777" w:rsidTr="008A6C33">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B11AA9C" w14:textId="77777777" w:rsidR="00045DCA" w:rsidRPr="009F65FC" w:rsidRDefault="00045DCA" w:rsidP="00F203DF">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tcPr>
          <w:p w14:paraId="3FCAC763" w14:textId="1F10B208" w:rsidR="00045DCA" w:rsidRPr="000D197A" w:rsidRDefault="00045DCA" w:rsidP="00F203DF">
            <w:pPr>
              <w:spacing w:after="0" w:line="240" w:lineRule="auto"/>
              <w:rPr>
                <w:rFonts w:eastAsia="Times New Roman" w:cstheme="minorHAnsi"/>
                <w:color w:val="000000"/>
                <w:kern w:val="0"/>
                <w:sz w:val="24"/>
                <w:szCs w:val="24"/>
                <w:lang w:eastAsia="en-IN"/>
                <w14:ligatures w14:val="none"/>
              </w:rPr>
            </w:pPr>
            <w:proofErr w:type="spellStart"/>
            <w:r w:rsidRPr="000D197A">
              <w:rPr>
                <w:rFonts w:eastAsia="Times New Roman" w:cstheme="minorHAnsi"/>
                <w:color w:val="000000"/>
                <w:kern w:val="0"/>
                <w:sz w:val="24"/>
                <w:szCs w:val="24"/>
                <w:lang w:eastAsia="en-IN"/>
                <w14:ligatures w14:val="none"/>
              </w:rPr>
              <w:t>Udyam</w:t>
            </w:r>
            <w:proofErr w:type="spellEnd"/>
            <w:r w:rsidRPr="000D197A">
              <w:rPr>
                <w:rFonts w:eastAsia="Times New Roman" w:cstheme="minorHAnsi"/>
                <w:color w:val="000000"/>
                <w:kern w:val="0"/>
                <w:sz w:val="24"/>
                <w:szCs w:val="24"/>
                <w:lang w:eastAsia="en-IN"/>
                <w14:ligatures w14:val="none"/>
              </w:rPr>
              <w:t xml:space="preserve"> Registration Number Mandatory for Guarantee Coverage</w:t>
            </w:r>
          </w:p>
        </w:tc>
      </w:tr>
      <w:tr w:rsidR="00F203DF" w:rsidRPr="009F65FC" w14:paraId="550FCDF1" w14:textId="77777777" w:rsidTr="008A6C33">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9FD38A3" w14:textId="4E6339DB" w:rsidR="00F203DF" w:rsidRPr="009F65FC" w:rsidRDefault="00F203DF" w:rsidP="00F203DF">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1272B17D" w14:textId="139966AD" w:rsidR="00F203DF" w:rsidRPr="009F65FC" w:rsidRDefault="00045DCA" w:rsidP="00F203DF">
            <w:pPr>
              <w:spacing w:after="0" w:line="240" w:lineRule="auto"/>
              <w:rPr>
                <w:rFonts w:ascii="Calibri" w:eastAsia="Times New Roman" w:hAnsi="Calibri" w:cs="Calibri"/>
                <w:color w:val="000000"/>
                <w:kern w:val="0"/>
                <w:sz w:val="24"/>
                <w:szCs w:val="24"/>
                <w:lang w:eastAsia="en-IN"/>
                <w14:ligatures w14:val="none"/>
              </w:rPr>
            </w:pPr>
            <w:r w:rsidRPr="001B278D">
              <w:rPr>
                <w:rFonts w:eastAsia="Times New Roman" w:cstheme="minorHAnsi"/>
                <w:color w:val="000000"/>
                <w:kern w:val="0"/>
                <w:sz w:val="24"/>
                <w:szCs w:val="24"/>
                <w:lang w:eastAsia="en-IN"/>
                <w14:ligatures w14:val="none"/>
              </w:rPr>
              <w:t>MSME Champions Scheme (Erstwhile CLCS-TUS)</w:t>
            </w:r>
          </w:p>
        </w:tc>
      </w:tr>
    </w:tbl>
    <w:p w14:paraId="3015C5F4" w14:textId="77777777" w:rsidR="009F65FC" w:rsidRDefault="009F65FC" w:rsidP="009F65FC">
      <w:pPr>
        <w:rPr>
          <w:b/>
          <w:bCs/>
          <w:lang w:val="en-US"/>
        </w:rPr>
      </w:pPr>
    </w:p>
    <w:p w14:paraId="7F390892" w14:textId="77777777" w:rsidR="00572A17" w:rsidRDefault="00572A17" w:rsidP="009F65FC">
      <w:pPr>
        <w:rPr>
          <w:b/>
          <w:bCs/>
          <w:lang w:val="en-US"/>
        </w:rPr>
      </w:pPr>
    </w:p>
    <w:p w14:paraId="1858FDFC" w14:textId="77777777" w:rsidR="00572A17" w:rsidRDefault="00572A17" w:rsidP="009F65FC">
      <w:pPr>
        <w:rPr>
          <w:b/>
          <w:bCs/>
          <w:lang w:val="en-US"/>
        </w:rPr>
      </w:pPr>
    </w:p>
    <w:p w14:paraId="0DCE76B1" w14:textId="77777777" w:rsidR="00572A17" w:rsidRDefault="00572A17" w:rsidP="009F65FC">
      <w:pPr>
        <w:rPr>
          <w:b/>
          <w:bCs/>
          <w:lang w:val="en-US"/>
        </w:rPr>
      </w:pPr>
    </w:p>
    <w:p w14:paraId="19389D8B" w14:textId="77777777" w:rsidR="00572A17" w:rsidRDefault="00572A17" w:rsidP="009F65FC">
      <w:pPr>
        <w:rPr>
          <w:b/>
          <w:bCs/>
          <w:lang w:val="en-US"/>
        </w:rPr>
      </w:pPr>
    </w:p>
    <w:p w14:paraId="31699CB8" w14:textId="77777777" w:rsidR="00572A17" w:rsidRDefault="00572A17" w:rsidP="009F65FC">
      <w:pPr>
        <w:rPr>
          <w:b/>
          <w:bCs/>
          <w:lang w:val="en-US"/>
        </w:rPr>
      </w:pPr>
    </w:p>
    <w:p w14:paraId="1ECAFC35" w14:textId="77777777" w:rsidR="00572A17" w:rsidRDefault="00572A17" w:rsidP="009F65FC">
      <w:pPr>
        <w:rPr>
          <w:b/>
          <w:bCs/>
          <w:lang w:val="en-US"/>
        </w:rPr>
      </w:pPr>
    </w:p>
    <w:p w14:paraId="1390F7E3" w14:textId="77777777" w:rsidR="00572A17" w:rsidRDefault="00572A17" w:rsidP="009F65FC">
      <w:pPr>
        <w:rPr>
          <w:b/>
          <w:bCs/>
          <w:lang w:val="en-US"/>
        </w:rPr>
      </w:pPr>
    </w:p>
    <w:p w14:paraId="1885C1F2" w14:textId="77777777" w:rsidR="00572A17" w:rsidRDefault="00572A17" w:rsidP="009F65FC">
      <w:pPr>
        <w:rPr>
          <w:b/>
          <w:bCs/>
          <w:lang w:val="en-US"/>
        </w:rPr>
      </w:pPr>
    </w:p>
    <w:p w14:paraId="43D126CE" w14:textId="77777777" w:rsidR="00572A17" w:rsidRDefault="00572A17" w:rsidP="009F65FC">
      <w:pPr>
        <w:rPr>
          <w:b/>
          <w:bCs/>
          <w:lang w:val="en-US"/>
        </w:rPr>
      </w:pPr>
    </w:p>
    <w:p w14:paraId="7A3E6546" w14:textId="77777777" w:rsidR="00572A17" w:rsidRDefault="00572A17" w:rsidP="009F65FC">
      <w:pPr>
        <w:rPr>
          <w:b/>
          <w:bCs/>
          <w:lang w:val="en-US"/>
        </w:rPr>
      </w:pPr>
    </w:p>
    <w:p w14:paraId="55A19068" w14:textId="77777777" w:rsidR="00572A17" w:rsidRDefault="00572A17" w:rsidP="009F65FC">
      <w:pPr>
        <w:rPr>
          <w:b/>
          <w:bCs/>
          <w:lang w:val="en-US"/>
        </w:rPr>
      </w:pPr>
    </w:p>
    <w:p w14:paraId="23FCBBD1" w14:textId="77777777" w:rsidR="00572A17" w:rsidRDefault="00572A17" w:rsidP="009F65FC">
      <w:pPr>
        <w:rPr>
          <w:b/>
          <w:bCs/>
          <w:lang w:val="en-US"/>
        </w:rPr>
      </w:pPr>
    </w:p>
    <w:p w14:paraId="4317F142" w14:textId="77777777" w:rsidR="00572A17" w:rsidRDefault="00572A17" w:rsidP="00572A17">
      <w:pPr>
        <w:pStyle w:val="NormalWeb"/>
        <w:rPr>
          <w:rFonts w:ascii="Arial" w:hAnsi="Arial" w:cs="Arial"/>
          <w:b/>
          <w:bCs/>
          <w:color w:val="000000"/>
          <w:sz w:val="20"/>
          <w:szCs w:val="20"/>
        </w:rPr>
      </w:pPr>
      <w:bookmarkStart w:id="1" w:name="OLE_LINK4"/>
      <w:bookmarkStart w:id="2" w:name="_Hlk141826120"/>
      <w:r>
        <w:rPr>
          <w:rFonts w:ascii="Arial" w:hAnsi="Arial" w:cs="Arial"/>
          <w:b/>
          <w:bCs/>
          <w:color w:val="000000"/>
          <w:sz w:val="20"/>
          <w:szCs w:val="20"/>
        </w:rPr>
        <w:t>Basel III Capital Regulations - Eligible Credit Rating Agencies</w:t>
      </w:r>
    </w:p>
    <w:bookmarkEnd w:id="1"/>
    <w:p w14:paraId="088F420D"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RBI/2022-23/162</w:t>
      </w:r>
      <w:r>
        <w:rPr>
          <w:rFonts w:ascii="Arial" w:hAnsi="Arial" w:cs="Arial"/>
          <w:color w:val="000000"/>
          <w:sz w:val="20"/>
          <w:szCs w:val="20"/>
        </w:rPr>
        <w:br/>
        <w:t>DOR.STR.REC.94/21.06.008/2022-23</w:t>
      </w:r>
    </w:p>
    <w:p w14:paraId="7AE5B4BA"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January 09, 2023</w:t>
      </w:r>
    </w:p>
    <w:p w14:paraId="595332C3"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Payments Banks and Regional Rural Banks)</w:t>
      </w:r>
    </w:p>
    <w:p w14:paraId="67CF51F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Dear Sir/ Madam,</w:t>
      </w:r>
    </w:p>
    <w:p w14:paraId="17880C28"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Basel III Capital Regulations - Eligible Credit Rating Agencies</w:t>
      </w:r>
    </w:p>
    <w:p w14:paraId="5947207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paragraph 6.1.2 of the </w:t>
      </w:r>
      <w:hyperlink r:id="rId5" w:tgtFrame="_blank" w:history="1">
        <w:r>
          <w:rPr>
            <w:rStyle w:val="Hyperlink"/>
            <w:rFonts w:ascii="Arial" w:hAnsi="Arial" w:cs="Arial"/>
            <w:sz w:val="20"/>
            <w:szCs w:val="20"/>
          </w:rPr>
          <w:t>Master Circular DOR.CAP.REC.3/21.06.201/2022-23 dated April 01, 2022</w:t>
        </w:r>
      </w:hyperlink>
      <w:r>
        <w:rPr>
          <w:rFonts w:ascii="Arial" w:hAnsi="Arial" w:cs="Arial"/>
          <w:color w:val="000000"/>
          <w:sz w:val="20"/>
          <w:szCs w:val="20"/>
        </w:rPr>
        <w:t> on Basel III Capital Regulations, wherein the list of domestic credit rating agencies accredited for the purpose of risk weighting banks' claims for capital adequacy purposes has been prescribed.</w:t>
      </w:r>
    </w:p>
    <w:p w14:paraId="18B45496"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On a review, banks are advised to use the ratings of the following domestic credit rating agencies (arranged in alphabetical order) for risk weighting their claims for capital adequacy purposes:</w:t>
      </w:r>
    </w:p>
    <w:p w14:paraId="591DC78C" w14:textId="77777777" w:rsidR="00572A17" w:rsidRDefault="00572A17" w:rsidP="00572A17">
      <w:pPr>
        <w:pStyle w:val="NormalWeb"/>
        <w:numPr>
          <w:ilvl w:val="0"/>
          <w:numId w:val="2"/>
        </w:numPr>
        <w:ind w:left="0"/>
        <w:jc w:val="both"/>
        <w:rPr>
          <w:rFonts w:ascii="Arial" w:hAnsi="Arial" w:cs="Arial"/>
          <w:color w:val="000000"/>
          <w:sz w:val="20"/>
          <w:szCs w:val="20"/>
        </w:rPr>
      </w:pPr>
      <w:proofErr w:type="spellStart"/>
      <w:r>
        <w:rPr>
          <w:rFonts w:ascii="Arial" w:hAnsi="Arial" w:cs="Arial"/>
          <w:color w:val="000000"/>
          <w:sz w:val="20"/>
          <w:szCs w:val="20"/>
        </w:rPr>
        <w:t>Acuite</w:t>
      </w:r>
      <w:proofErr w:type="spellEnd"/>
      <w:r>
        <w:rPr>
          <w:rFonts w:ascii="Arial" w:hAnsi="Arial" w:cs="Arial"/>
          <w:color w:val="000000"/>
          <w:sz w:val="20"/>
          <w:szCs w:val="20"/>
        </w:rPr>
        <w:t xml:space="preserve"> Ratings &amp; Research Limited (</w:t>
      </w:r>
      <w:proofErr w:type="spellStart"/>
      <w:r>
        <w:rPr>
          <w:rFonts w:ascii="Arial" w:hAnsi="Arial" w:cs="Arial"/>
          <w:color w:val="000000"/>
          <w:sz w:val="20"/>
          <w:szCs w:val="20"/>
        </w:rPr>
        <w:t>Acuite</w:t>
      </w:r>
      <w:proofErr w:type="spellEnd"/>
      <w:r>
        <w:rPr>
          <w:rFonts w:ascii="Arial" w:hAnsi="Arial" w:cs="Arial"/>
          <w:color w:val="000000"/>
          <w:sz w:val="20"/>
          <w:szCs w:val="20"/>
        </w:rPr>
        <w:t>)</w:t>
      </w:r>
    </w:p>
    <w:p w14:paraId="667D2385" w14:textId="77777777" w:rsidR="00572A17" w:rsidRDefault="00572A17" w:rsidP="00572A17">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Credit Analysis and Research Limited (CARE);</w:t>
      </w:r>
    </w:p>
    <w:p w14:paraId="69C8811A" w14:textId="77777777" w:rsidR="00572A17" w:rsidRDefault="00572A17" w:rsidP="00572A17">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CRISIL Ratings Limited;</w:t>
      </w:r>
    </w:p>
    <w:p w14:paraId="4C0DAFD7" w14:textId="77777777" w:rsidR="00572A17" w:rsidRDefault="00572A17" w:rsidP="00572A17">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ICRA Limited;</w:t>
      </w:r>
    </w:p>
    <w:p w14:paraId="441FAC70" w14:textId="77777777" w:rsidR="00572A17" w:rsidRDefault="00572A17" w:rsidP="00572A17">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India Ratings and Research Private Limited (India Ratings); and</w:t>
      </w:r>
    </w:p>
    <w:p w14:paraId="0E271CA8" w14:textId="77777777" w:rsidR="00572A17" w:rsidRDefault="00572A17" w:rsidP="00572A17">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INFOMERICS Valuation and Rating Pvt Ltd. (INFOMERICS)</w:t>
      </w:r>
    </w:p>
    <w:p w14:paraId="0D8315F4"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3. A reference is also invited to the </w:t>
      </w:r>
      <w:hyperlink r:id="rId6" w:tgtFrame="_blank" w:history="1">
        <w:r>
          <w:rPr>
            <w:rStyle w:val="Hyperlink"/>
            <w:rFonts w:ascii="Arial" w:hAnsi="Arial" w:cs="Arial"/>
            <w:sz w:val="20"/>
            <w:szCs w:val="20"/>
          </w:rPr>
          <w:t>Press Release: 2022-2023/1033 dated October 12, 2022</w:t>
        </w:r>
      </w:hyperlink>
      <w:r>
        <w:rPr>
          <w:rFonts w:ascii="Arial" w:hAnsi="Arial" w:cs="Arial"/>
          <w:color w:val="000000"/>
          <w:sz w:val="20"/>
          <w:szCs w:val="20"/>
        </w:rPr>
        <w:t> in terms of which, Regulated Entities/ Market Participants were advised that in respect of ratings/credit evaluations required in terms of any guidelines issued by the Reserve Bank, no such fresh ratings/evaluations shall be obtained from Brickwork Ratings India Private Limited. Banks shall continue to be guided by the press release ibid till further review.</w:t>
      </w:r>
    </w:p>
    <w:p w14:paraId="78EDD89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4. All other provisions regarding external credit ratings stipulated in the Master Circular ibid remain unchanged.</w:t>
      </w:r>
    </w:p>
    <w:p w14:paraId="579B772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023783C4"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6C6B332" w14:textId="77777777" w:rsidR="00572A17" w:rsidRDefault="00572A17" w:rsidP="00572A17">
      <w:pPr>
        <w:pStyle w:val="NormalWeb"/>
      </w:pPr>
    </w:p>
    <w:p w14:paraId="2FD55976" w14:textId="77777777" w:rsidR="00572A17" w:rsidRDefault="00572A17" w:rsidP="00572A17">
      <w:pPr>
        <w:pStyle w:val="NormalWeb"/>
      </w:pPr>
    </w:p>
    <w:p w14:paraId="7556BE0B" w14:textId="30D7B57B" w:rsidR="00572A17" w:rsidRDefault="00572A17" w:rsidP="00572A17">
      <w:pPr>
        <w:pStyle w:val="NormalWeb"/>
      </w:pPr>
    </w:p>
    <w:p w14:paraId="1BC5AC0D" w14:textId="77777777" w:rsidR="00572A17" w:rsidRDefault="00572A17" w:rsidP="00572A17">
      <w:r>
        <w:t>More details can be referred to in the below link.</w:t>
      </w:r>
    </w:p>
    <w:p w14:paraId="09663289"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lastRenderedPageBreak/>
        <w:t xml:space="preserve">Reference Link: </w:t>
      </w:r>
      <w:hyperlink r:id="rId7" w:history="1">
        <w:r w:rsidRPr="005F425E">
          <w:rPr>
            <w:rStyle w:val="Hyperlink"/>
            <w:rFonts w:ascii="Arial" w:hAnsi="Arial" w:cs="Arial"/>
            <w:bCs/>
            <w:sz w:val="20"/>
            <w:szCs w:val="20"/>
          </w:rPr>
          <w:t>https://rbi.org.in/Scripts/NotificationUser.aspx?Id=12435&amp;Mode=0</w:t>
        </w:r>
      </w:hyperlink>
    </w:p>
    <w:p w14:paraId="7E6748CF" w14:textId="77777777" w:rsidR="00572A17" w:rsidRDefault="00572A17" w:rsidP="00572A17">
      <w:pPr>
        <w:pStyle w:val="NormalWeb"/>
        <w:rPr>
          <w:rFonts w:ascii="Arial" w:hAnsi="Arial" w:cs="Arial"/>
          <w:b/>
          <w:bCs/>
          <w:color w:val="000000"/>
          <w:sz w:val="20"/>
          <w:szCs w:val="20"/>
        </w:rPr>
      </w:pPr>
      <w:bookmarkStart w:id="3" w:name="OLE_LINK25"/>
      <w:bookmarkEnd w:id="2"/>
      <w:r>
        <w:rPr>
          <w:rFonts w:ascii="Arial" w:hAnsi="Arial" w:cs="Arial"/>
          <w:b/>
          <w:bCs/>
          <w:color w:val="000000"/>
          <w:sz w:val="20"/>
          <w:szCs w:val="20"/>
        </w:rPr>
        <w:t>Reserve Bank of India (Financial Statements - Presentation and Disclosures) Directions, 2021 – Disclosures for State Co-operative Banks and Central Co-operative Banks</w:t>
      </w:r>
    </w:p>
    <w:bookmarkEnd w:id="3"/>
    <w:p w14:paraId="5B6122FC"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38880C11"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February 20, 2023</w:t>
      </w:r>
    </w:p>
    <w:p w14:paraId="5643BEF1"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 Dear Sir,</w:t>
      </w:r>
    </w:p>
    <w:p w14:paraId="00010A6E"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42F9E07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The </w:t>
      </w:r>
      <w:hyperlink r:id="rId8"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07264D5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6372DFB2"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48FC939E"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4. The </w:t>
      </w:r>
      <w:hyperlink r:id="rId9"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1CB7FA14"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59019766"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2D19FE7F" w14:textId="77777777" w:rsidR="00572A17" w:rsidRDefault="00572A17" w:rsidP="00572A17">
      <w:pPr>
        <w:pStyle w:val="NormalWeb"/>
        <w:rPr>
          <w:b/>
        </w:rPr>
      </w:pPr>
    </w:p>
    <w:p w14:paraId="59450AD4" w14:textId="77777777" w:rsidR="00572A17" w:rsidRDefault="00572A17" w:rsidP="00572A17">
      <w:r>
        <w:t>More details can be referred to in the below link.</w:t>
      </w:r>
    </w:p>
    <w:p w14:paraId="48BD45CD"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5F425E">
          <w:rPr>
            <w:rStyle w:val="Hyperlink"/>
            <w:rFonts w:ascii="Arial" w:hAnsi="Arial" w:cs="Arial"/>
            <w:bCs/>
            <w:sz w:val="20"/>
            <w:szCs w:val="20"/>
          </w:rPr>
          <w:t>https://rbi.org.in/Scripts/NotificationUser.aspx?Id=12457&amp;Mode=0</w:t>
        </w:r>
      </w:hyperlink>
    </w:p>
    <w:p w14:paraId="202B9AB2" w14:textId="77777777" w:rsidR="00572A17" w:rsidRDefault="00572A17" w:rsidP="00572A17">
      <w:pPr>
        <w:pStyle w:val="NormalWeb"/>
        <w:rPr>
          <w:rFonts w:ascii="Arial" w:hAnsi="Arial" w:cs="Arial"/>
          <w:bCs/>
          <w:color w:val="000000"/>
          <w:sz w:val="20"/>
          <w:szCs w:val="20"/>
        </w:rPr>
      </w:pPr>
    </w:p>
    <w:p w14:paraId="43DA749B" w14:textId="77777777" w:rsidR="00572A17" w:rsidRDefault="00572A17" w:rsidP="00572A17">
      <w:pPr>
        <w:pStyle w:val="NormalWeb"/>
        <w:rPr>
          <w:rFonts w:ascii="Arial" w:hAnsi="Arial" w:cs="Arial"/>
          <w:bCs/>
          <w:color w:val="000000"/>
          <w:sz w:val="20"/>
          <w:szCs w:val="20"/>
        </w:rPr>
      </w:pPr>
    </w:p>
    <w:p w14:paraId="2EB84543" w14:textId="77777777" w:rsidR="00572A17" w:rsidRDefault="00572A17" w:rsidP="00572A17">
      <w:pPr>
        <w:pStyle w:val="NormalWeb"/>
        <w:rPr>
          <w:rFonts w:ascii="Arial" w:hAnsi="Arial" w:cs="Arial"/>
          <w:bCs/>
          <w:color w:val="000000"/>
          <w:sz w:val="20"/>
          <w:szCs w:val="20"/>
        </w:rPr>
      </w:pPr>
    </w:p>
    <w:p w14:paraId="6E45E4D8" w14:textId="77777777" w:rsidR="00572A17" w:rsidRDefault="00572A17" w:rsidP="00572A17">
      <w:pPr>
        <w:pStyle w:val="NormalWeb"/>
        <w:rPr>
          <w:rFonts w:ascii="Arial" w:hAnsi="Arial" w:cs="Arial"/>
          <w:bCs/>
          <w:color w:val="000000"/>
          <w:sz w:val="20"/>
          <w:szCs w:val="20"/>
        </w:rPr>
      </w:pPr>
    </w:p>
    <w:p w14:paraId="0A691394" w14:textId="77777777" w:rsidR="00572A17" w:rsidRDefault="00572A17" w:rsidP="00572A17">
      <w:pPr>
        <w:pStyle w:val="NormalWeb"/>
        <w:rPr>
          <w:rFonts w:ascii="Arial" w:hAnsi="Arial" w:cs="Arial"/>
          <w:bCs/>
          <w:color w:val="000000"/>
          <w:sz w:val="20"/>
          <w:szCs w:val="20"/>
        </w:rPr>
      </w:pPr>
    </w:p>
    <w:p w14:paraId="7C20D7D3" w14:textId="77777777" w:rsidR="00572A17" w:rsidRDefault="00572A17" w:rsidP="00572A17">
      <w:pPr>
        <w:pStyle w:val="NormalWeb"/>
        <w:rPr>
          <w:rFonts w:ascii="Arial" w:hAnsi="Arial" w:cs="Arial"/>
          <w:bCs/>
          <w:color w:val="000000"/>
          <w:sz w:val="20"/>
          <w:szCs w:val="20"/>
        </w:rPr>
      </w:pPr>
    </w:p>
    <w:p w14:paraId="64AB47A8" w14:textId="77777777" w:rsidR="00572A17" w:rsidRDefault="00572A17" w:rsidP="009F65FC">
      <w:pPr>
        <w:rPr>
          <w:b/>
          <w:bCs/>
          <w:lang w:val="en-US"/>
        </w:rPr>
      </w:pPr>
    </w:p>
    <w:p w14:paraId="6EBF2790" w14:textId="77777777" w:rsidR="00572A17" w:rsidRDefault="00572A17" w:rsidP="00572A17">
      <w:pPr>
        <w:pStyle w:val="NormalWeb"/>
        <w:rPr>
          <w:rFonts w:ascii="Arial" w:hAnsi="Arial" w:cs="Arial"/>
          <w:b/>
          <w:bCs/>
          <w:color w:val="000000"/>
          <w:sz w:val="20"/>
          <w:szCs w:val="20"/>
        </w:rPr>
      </w:pPr>
      <w:bookmarkStart w:id="4" w:name="OLE_LINK33"/>
      <w:bookmarkStart w:id="5" w:name="_Hlk141826267"/>
      <w:r>
        <w:rPr>
          <w:rFonts w:ascii="Arial" w:hAnsi="Arial" w:cs="Arial"/>
          <w:b/>
          <w:bCs/>
          <w:color w:val="000000"/>
          <w:sz w:val="20"/>
          <w:szCs w:val="20"/>
        </w:rPr>
        <w:t>Revised Regulatory Framework for Urban Co-operative Banks (UCBs) – Net Worth and Capital Adequacy</w:t>
      </w:r>
    </w:p>
    <w:bookmarkEnd w:id="4"/>
    <w:p w14:paraId="365DB121"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RBI/2022-23/189</w:t>
      </w:r>
      <w:r>
        <w:rPr>
          <w:rFonts w:ascii="Arial" w:hAnsi="Arial" w:cs="Arial"/>
          <w:color w:val="000000"/>
          <w:sz w:val="20"/>
          <w:szCs w:val="20"/>
        </w:rPr>
        <w:br/>
        <w:t>DOR.CAP.REC. No.109/09.18.201/2022-23</w:t>
      </w:r>
    </w:p>
    <w:p w14:paraId="43611588"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March 28, 2023</w:t>
      </w:r>
    </w:p>
    <w:p w14:paraId="7E83D46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Dear Sir/ Madam,</w:t>
      </w:r>
    </w:p>
    <w:p w14:paraId="22775C24"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14:paraId="58168EE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para 7 of the </w:t>
      </w:r>
      <w:hyperlink r:id="rId11" w:tgtFrame="_blank" w:history="1">
        <w:r>
          <w:rPr>
            <w:rStyle w:val="Hyperlink"/>
            <w:rFonts w:ascii="Arial" w:hAnsi="Arial" w:cs="Arial"/>
            <w:sz w:val="20"/>
            <w:szCs w:val="20"/>
          </w:rPr>
          <w:t>circular DOR.CAP.REC.No.86/09.18.201/2022-23 dated December 01, 2022</w:t>
        </w:r>
      </w:hyperlink>
      <w:r>
        <w:rPr>
          <w:rFonts w:ascii="Arial" w:hAnsi="Arial" w:cs="Arial"/>
          <w:color w:val="000000"/>
          <w:sz w:val="20"/>
          <w:szCs w:val="20"/>
        </w:rPr>
        <w:t> on ‘Revised Regulatory Framework for Urban Co-operative Banks (UCBs) – Net Worth and Capital Adequacy.</w:t>
      </w:r>
    </w:p>
    <w:p w14:paraId="7474BB68"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It has been decided that the instructions shall come into effect from March 31, 2023.</w:t>
      </w:r>
    </w:p>
    <w:p w14:paraId="3D468B47"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3. All other instructions of the circular ibid remain unchanged.</w:t>
      </w:r>
    </w:p>
    <w:p w14:paraId="5659FE6E"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5582A16B"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(R. Lakshmi Kanth Rao)</w:t>
      </w:r>
      <w:r>
        <w:rPr>
          <w:rFonts w:ascii="Arial" w:hAnsi="Arial" w:cs="Arial"/>
          <w:color w:val="000000"/>
          <w:sz w:val="20"/>
          <w:szCs w:val="20"/>
        </w:rPr>
        <w:br/>
        <w:t>Chief General Manager-in-Charge</w:t>
      </w:r>
    </w:p>
    <w:p w14:paraId="0F776F73" w14:textId="77777777" w:rsidR="00572A17" w:rsidRDefault="00572A17" w:rsidP="00572A17">
      <w:pPr>
        <w:pStyle w:val="NormalWeb"/>
        <w:rPr>
          <w:rFonts w:ascii="Arial" w:hAnsi="Arial" w:cs="Arial"/>
          <w:bCs/>
          <w:color w:val="000000"/>
          <w:sz w:val="20"/>
          <w:szCs w:val="20"/>
        </w:rPr>
      </w:pPr>
    </w:p>
    <w:p w14:paraId="73FB3FA1" w14:textId="77777777" w:rsidR="00572A17" w:rsidRDefault="00572A17" w:rsidP="00572A17">
      <w:r>
        <w:t>More details can be referred to in the below link.</w:t>
      </w:r>
    </w:p>
    <w:p w14:paraId="08C4EDD1"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2" w:history="1">
        <w:r w:rsidRPr="005F425E">
          <w:rPr>
            <w:rStyle w:val="Hyperlink"/>
            <w:rFonts w:ascii="Arial" w:hAnsi="Arial" w:cs="Arial"/>
            <w:bCs/>
            <w:sz w:val="20"/>
            <w:szCs w:val="20"/>
          </w:rPr>
          <w:t>https://rbi.org.in/Scripts/NotificationUser.aspx?Id=12465&amp;Mode=0</w:t>
        </w:r>
      </w:hyperlink>
    </w:p>
    <w:p w14:paraId="05E414D1" w14:textId="77777777" w:rsidR="00572A17" w:rsidRDefault="00572A17" w:rsidP="00572A17">
      <w:pPr>
        <w:pStyle w:val="NormalWeb"/>
        <w:rPr>
          <w:rFonts w:ascii="Arial" w:hAnsi="Arial" w:cs="Arial"/>
          <w:bCs/>
          <w:color w:val="000000"/>
          <w:sz w:val="20"/>
          <w:szCs w:val="20"/>
        </w:rPr>
      </w:pPr>
    </w:p>
    <w:p w14:paraId="19FF37A5" w14:textId="77777777" w:rsidR="00572A17" w:rsidRDefault="00572A17" w:rsidP="00572A17">
      <w:pPr>
        <w:pStyle w:val="NormalWeb"/>
        <w:rPr>
          <w:rFonts w:ascii="Arial" w:hAnsi="Arial" w:cs="Arial"/>
          <w:bCs/>
          <w:color w:val="000000"/>
          <w:sz w:val="20"/>
          <w:szCs w:val="20"/>
        </w:rPr>
      </w:pPr>
    </w:p>
    <w:p w14:paraId="6F0684BD" w14:textId="77777777" w:rsidR="00572A17" w:rsidRDefault="00572A17" w:rsidP="00572A17">
      <w:pPr>
        <w:pStyle w:val="NormalWeb"/>
        <w:rPr>
          <w:rFonts w:ascii="Arial" w:hAnsi="Arial" w:cs="Arial"/>
          <w:bCs/>
          <w:color w:val="000000"/>
          <w:sz w:val="20"/>
          <w:szCs w:val="20"/>
        </w:rPr>
      </w:pPr>
    </w:p>
    <w:p w14:paraId="681F31A8" w14:textId="77777777" w:rsidR="00572A17" w:rsidRDefault="00572A17" w:rsidP="00572A17">
      <w:pPr>
        <w:pStyle w:val="NormalWeb"/>
        <w:rPr>
          <w:rFonts w:ascii="Arial" w:hAnsi="Arial" w:cs="Arial"/>
          <w:bCs/>
          <w:color w:val="000000"/>
          <w:sz w:val="20"/>
          <w:szCs w:val="20"/>
        </w:rPr>
      </w:pPr>
    </w:p>
    <w:p w14:paraId="0FC0E28F" w14:textId="77777777" w:rsidR="00572A17" w:rsidRDefault="00572A17" w:rsidP="00572A17">
      <w:pPr>
        <w:pStyle w:val="NormalWeb"/>
        <w:rPr>
          <w:rFonts w:ascii="Arial" w:hAnsi="Arial" w:cs="Arial"/>
          <w:bCs/>
          <w:color w:val="000000"/>
          <w:sz w:val="20"/>
          <w:szCs w:val="20"/>
        </w:rPr>
      </w:pPr>
    </w:p>
    <w:p w14:paraId="75C04A55" w14:textId="77777777" w:rsidR="00572A17" w:rsidRDefault="00572A17" w:rsidP="00572A17">
      <w:pPr>
        <w:pStyle w:val="NormalWeb"/>
        <w:rPr>
          <w:rFonts w:ascii="Arial" w:hAnsi="Arial" w:cs="Arial"/>
          <w:bCs/>
          <w:color w:val="000000"/>
          <w:sz w:val="20"/>
          <w:szCs w:val="20"/>
        </w:rPr>
      </w:pPr>
    </w:p>
    <w:p w14:paraId="6CF09C88" w14:textId="77777777" w:rsidR="00572A17" w:rsidRDefault="00572A17" w:rsidP="00572A17">
      <w:pPr>
        <w:pStyle w:val="NormalWeb"/>
        <w:rPr>
          <w:rFonts w:ascii="Arial" w:hAnsi="Arial" w:cs="Arial"/>
          <w:bCs/>
          <w:color w:val="000000"/>
          <w:sz w:val="20"/>
          <w:szCs w:val="20"/>
        </w:rPr>
      </w:pPr>
    </w:p>
    <w:p w14:paraId="65B1FEC5" w14:textId="77777777" w:rsidR="00572A17" w:rsidRDefault="00572A17" w:rsidP="00572A17">
      <w:pPr>
        <w:pStyle w:val="NormalWeb"/>
        <w:rPr>
          <w:rFonts w:ascii="Arial" w:hAnsi="Arial" w:cs="Arial"/>
          <w:bCs/>
          <w:color w:val="000000"/>
          <w:sz w:val="20"/>
          <w:szCs w:val="20"/>
        </w:rPr>
      </w:pPr>
    </w:p>
    <w:p w14:paraId="7887C506" w14:textId="77777777" w:rsidR="00572A17" w:rsidRDefault="00572A17" w:rsidP="00572A17">
      <w:pPr>
        <w:pStyle w:val="NormalWeb"/>
        <w:rPr>
          <w:rFonts w:ascii="Arial" w:hAnsi="Arial" w:cs="Arial"/>
          <w:bCs/>
          <w:color w:val="000000"/>
          <w:sz w:val="20"/>
          <w:szCs w:val="20"/>
        </w:rPr>
      </w:pPr>
    </w:p>
    <w:p w14:paraId="0B9E61E2" w14:textId="77777777" w:rsidR="00572A17" w:rsidRDefault="00572A17" w:rsidP="00572A17">
      <w:pPr>
        <w:pStyle w:val="NormalWeb"/>
        <w:rPr>
          <w:rFonts w:ascii="Arial" w:hAnsi="Arial" w:cs="Arial"/>
          <w:bCs/>
          <w:color w:val="000000"/>
          <w:sz w:val="20"/>
          <w:szCs w:val="20"/>
        </w:rPr>
      </w:pPr>
    </w:p>
    <w:p w14:paraId="561DC164" w14:textId="77777777" w:rsidR="00572A17" w:rsidRDefault="00572A17" w:rsidP="00572A17">
      <w:pPr>
        <w:pStyle w:val="NormalWeb"/>
        <w:rPr>
          <w:rFonts w:ascii="Arial" w:hAnsi="Arial" w:cs="Arial"/>
          <w:bCs/>
          <w:color w:val="000000"/>
          <w:sz w:val="20"/>
          <w:szCs w:val="20"/>
        </w:rPr>
      </w:pPr>
    </w:p>
    <w:bookmarkEnd w:id="5"/>
    <w:p w14:paraId="76C0F002" w14:textId="77777777" w:rsidR="00572A17" w:rsidRDefault="00572A17" w:rsidP="009F65FC">
      <w:pPr>
        <w:rPr>
          <w:b/>
          <w:bCs/>
          <w:lang w:val="en-US"/>
        </w:rPr>
      </w:pPr>
    </w:p>
    <w:p w14:paraId="4979A9E8" w14:textId="77777777" w:rsidR="00572A17" w:rsidRDefault="00572A17" w:rsidP="00572A17">
      <w:pPr>
        <w:pStyle w:val="NormalWeb"/>
        <w:rPr>
          <w:rFonts w:ascii="Arial" w:hAnsi="Arial" w:cs="Arial"/>
          <w:b/>
          <w:bCs/>
          <w:color w:val="000000"/>
          <w:sz w:val="20"/>
          <w:szCs w:val="20"/>
        </w:rPr>
      </w:pPr>
      <w:bookmarkStart w:id="6" w:name="OLE_LINK35"/>
      <w:bookmarkStart w:id="7" w:name="_Hlk141824934"/>
      <w:r>
        <w:rPr>
          <w:rFonts w:ascii="Arial" w:hAnsi="Arial" w:cs="Arial"/>
          <w:b/>
          <w:bCs/>
          <w:color w:val="000000"/>
          <w:sz w:val="20"/>
          <w:szCs w:val="20"/>
        </w:rPr>
        <w:t>Master Circular on Credit Facilities to Minority Communities</w:t>
      </w:r>
    </w:p>
    <w:bookmarkEnd w:id="6"/>
    <w:p w14:paraId="5B7816F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29164BAA"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01, 2023</w:t>
      </w:r>
    </w:p>
    <w:p w14:paraId="5761803D"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528188F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Dear Sir,</w:t>
      </w:r>
    </w:p>
    <w:p w14:paraId="4E6F44CA"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1DAEDEE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13"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14" w:anchor="APP" w:history="1">
        <w:r>
          <w:rPr>
            <w:rStyle w:val="Hyperlink"/>
            <w:rFonts w:ascii="Arial" w:hAnsi="Arial" w:cs="Arial"/>
            <w:sz w:val="20"/>
            <w:szCs w:val="20"/>
          </w:rPr>
          <w:t>Appendix</w:t>
        </w:r>
      </w:hyperlink>
      <w:r>
        <w:rPr>
          <w:rFonts w:ascii="Arial" w:hAnsi="Arial" w:cs="Arial"/>
          <w:color w:val="000000"/>
          <w:sz w:val="20"/>
          <w:szCs w:val="20"/>
        </w:rPr>
        <w:t>.</w:t>
      </w:r>
    </w:p>
    <w:p w14:paraId="58AA6F34"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1D790093"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4617C358" w14:textId="77777777" w:rsidR="00572A17" w:rsidRDefault="00572A17" w:rsidP="00572A17">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8ADECCD" w14:textId="77777777" w:rsidR="00572A17" w:rsidRDefault="00572A17" w:rsidP="00572A17">
      <w:pPr>
        <w:pStyle w:val="NormalWeb"/>
        <w:rPr>
          <w:rFonts w:ascii="Arial" w:hAnsi="Arial" w:cs="Arial"/>
          <w:bCs/>
          <w:color w:val="000000"/>
          <w:sz w:val="20"/>
          <w:szCs w:val="20"/>
        </w:rPr>
      </w:pPr>
    </w:p>
    <w:p w14:paraId="6362222D" w14:textId="77777777" w:rsidR="00572A17" w:rsidRDefault="00572A17" w:rsidP="00572A17">
      <w:r>
        <w:t>More details can be referred to in the below link.</w:t>
      </w:r>
    </w:p>
    <w:p w14:paraId="46C610E8"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https://rbi.org.in/Scripts/NotificationUser.aspx?Id=12467&amp;Mode=0</w:t>
        </w:r>
      </w:hyperlink>
    </w:p>
    <w:p w14:paraId="37837816" w14:textId="77777777" w:rsidR="00572A17" w:rsidRDefault="00572A17" w:rsidP="00572A17">
      <w:pPr>
        <w:pStyle w:val="NormalWeb"/>
        <w:rPr>
          <w:rFonts w:ascii="Arial" w:hAnsi="Arial" w:cs="Arial"/>
          <w:bCs/>
          <w:color w:val="000000"/>
          <w:sz w:val="20"/>
          <w:szCs w:val="20"/>
        </w:rPr>
      </w:pPr>
    </w:p>
    <w:p w14:paraId="49A2BBBC" w14:textId="77777777" w:rsidR="00572A17" w:rsidRDefault="00572A17" w:rsidP="00572A17">
      <w:pPr>
        <w:pStyle w:val="NormalWeb"/>
        <w:rPr>
          <w:rFonts w:ascii="Arial" w:hAnsi="Arial" w:cs="Arial"/>
          <w:bCs/>
          <w:color w:val="000000"/>
          <w:sz w:val="20"/>
          <w:szCs w:val="20"/>
        </w:rPr>
      </w:pPr>
    </w:p>
    <w:p w14:paraId="0308E9AD" w14:textId="77777777" w:rsidR="00572A17" w:rsidRDefault="00572A17" w:rsidP="00572A17">
      <w:pPr>
        <w:pStyle w:val="NormalWeb"/>
        <w:rPr>
          <w:rFonts w:ascii="Arial" w:hAnsi="Arial" w:cs="Arial"/>
          <w:bCs/>
          <w:color w:val="000000"/>
          <w:sz w:val="20"/>
          <w:szCs w:val="20"/>
        </w:rPr>
      </w:pPr>
    </w:p>
    <w:p w14:paraId="07F9452D" w14:textId="77777777" w:rsidR="00572A17" w:rsidRDefault="00572A17" w:rsidP="00572A17">
      <w:pPr>
        <w:pStyle w:val="NormalWeb"/>
        <w:rPr>
          <w:rFonts w:ascii="Arial" w:hAnsi="Arial" w:cs="Arial"/>
          <w:bCs/>
          <w:color w:val="000000"/>
          <w:sz w:val="20"/>
          <w:szCs w:val="20"/>
        </w:rPr>
      </w:pPr>
    </w:p>
    <w:p w14:paraId="00DF9317" w14:textId="77777777" w:rsidR="00572A17" w:rsidRDefault="00572A17" w:rsidP="00572A17">
      <w:pPr>
        <w:pStyle w:val="NormalWeb"/>
        <w:rPr>
          <w:rFonts w:ascii="Arial" w:hAnsi="Arial" w:cs="Arial"/>
          <w:bCs/>
          <w:color w:val="000000"/>
          <w:sz w:val="20"/>
          <w:szCs w:val="20"/>
        </w:rPr>
      </w:pPr>
    </w:p>
    <w:p w14:paraId="1C1A8542" w14:textId="77777777" w:rsidR="00572A17" w:rsidRDefault="00572A17" w:rsidP="00572A17">
      <w:pPr>
        <w:pStyle w:val="NormalWeb"/>
        <w:rPr>
          <w:rFonts w:ascii="Arial" w:hAnsi="Arial" w:cs="Arial"/>
          <w:bCs/>
          <w:color w:val="000000"/>
          <w:sz w:val="20"/>
          <w:szCs w:val="20"/>
        </w:rPr>
      </w:pPr>
    </w:p>
    <w:p w14:paraId="4076EA21" w14:textId="77777777" w:rsidR="00572A17" w:rsidRDefault="00572A17" w:rsidP="00572A17">
      <w:pPr>
        <w:pStyle w:val="NormalWeb"/>
        <w:rPr>
          <w:rFonts w:ascii="Arial" w:hAnsi="Arial" w:cs="Arial"/>
          <w:bCs/>
          <w:color w:val="000000"/>
          <w:sz w:val="20"/>
          <w:szCs w:val="20"/>
        </w:rPr>
      </w:pPr>
    </w:p>
    <w:p w14:paraId="2D00D86E" w14:textId="77777777" w:rsidR="00572A17" w:rsidRDefault="00572A17" w:rsidP="00572A17">
      <w:pPr>
        <w:pStyle w:val="NormalWeb"/>
        <w:rPr>
          <w:rFonts w:ascii="Arial" w:hAnsi="Arial" w:cs="Arial"/>
          <w:bCs/>
          <w:color w:val="000000"/>
          <w:sz w:val="20"/>
          <w:szCs w:val="20"/>
        </w:rPr>
      </w:pPr>
    </w:p>
    <w:p w14:paraId="147BCD6E" w14:textId="77777777" w:rsidR="00572A17" w:rsidRDefault="00572A17" w:rsidP="00572A17">
      <w:pPr>
        <w:pStyle w:val="NormalWeb"/>
        <w:rPr>
          <w:rFonts w:ascii="Arial" w:hAnsi="Arial" w:cs="Arial"/>
          <w:bCs/>
          <w:color w:val="000000"/>
          <w:sz w:val="20"/>
          <w:szCs w:val="20"/>
        </w:rPr>
      </w:pPr>
    </w:p>
    <w:p w14:paraId="6C84A3CA" w14:textId="77777777" w:rsidR="00572A17" w:rsidRDefault="00572A17" w:rsidP="00572A17">
      <w:pPr>
        <w:pStyle w:val="NormalWeb"/>
        <w:rPr>
          <w:rFonts w:ascii="Arial" w:hAnsi="Arial" w:cs="Arial"/>
          <w:bCs/>
          <w:color w:val="000000"/>
          <w:sz w:val="20"/>
          <w:szCs w:val="20"/>
        </w:rPr>
      </w:pPr>
    </w:p>
    <w:p w14:paraId="378C6A61" w14:textId="77777777" w:rsidR="00572A17" w:rsidRDefault="00572A17" w:rsidP="00572A17">
      <w:pPr>
        <w:pStyle w:val="NormalWeb"/>
        <w:rPr>
          <w:rFonts w:ascii="Arial" w:hAnsi="Arial" w:cs="Arial"/>
          <w:bCs/>
          <w:color w:val="000000"/>
          <w:sz w:val="20"/>
          <w:szCs w:val="20"/>
        </w:rPr>
      </w:pPr>
    </w:p>
    <w:bookmarkEnd w:id="7"/>
    <w:p w14:paraId="0694CE0D" w14:textId="77777777" w:rsidR="00572A17" w:rsidRDefault="00572A17" w:rsidP="009F65FC">
      <w:pPr>
        <w:rPr>
          <w:b/>
          <w:bCs/>
          <w:lang w:val="en-US"/>
        </w:rPr>
      </w:pPr>
    </w:p>
    <w:p w14:paraId="61A745F8" w14:textId="77777777" w:rsidR="00572A17" w:rsidRDefault="00572A17" w:rsidP="00572A17">
      <w:pPr>
        <w:pStyle w:val="NormalWeb"/>
        <w:rPr>
          <w:rFonts w:ascii="Arial" w:hAnsi="Arial" w:cs="Arial"/>
          <w:b/>
          <w:bCs/>
          <w:color w:val="000000"/>
          <w:sz w:val="20"/>
          <w:szCs w:val="20"/>
        </w:rPr>
      </w:pPr>
      <w:bookmarkStart w:id="8" w:name="OLE_LINK36"/>
      <w:bookmarkStart w:id="9" w:name="_Hlk141824961"/>
      <w:r>
        <w:rPr>
          <w:rFonts w:ascii="Arial" w:hAnsi="Arial" w:cs="Arial"/>
          <w:b/>
          <w:bCs/>
          <w:color w:val="000000"/>
          <w:sz w:val="20"/>
          <w:szCs w:val="20"/>
        </w:rPr>
        <w:t>Master Circular - Credit facilities to Scheduled Castes (SCs) &amp; Scheduled Tribes (STs)</w:t>
      </w:r>
    </w:p>
    <w:bookmarkEnd w:id="8"/>
    <w:p w14:paraId="6934256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108C4A0C"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01, 2023</w:t>
      </w:r>
    </w:p>
    <w:p w14:paraId="71016F78"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5F1E48E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 Dear Sir,</w:t>
      </w:r>
    </w:p>
    <w:p w14:paraId="27DEA400"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234659A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16"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17" w:anchor="APP" w:history="1">
        <w:r>
          <w:rPr>
            <w:rStyle w:val="Hyperlink"/>
            <w:rFonts w:ascii="Arial" w:hAnsi="Arial" w:cs="Arial"/>
            <w:sz w:val="20"/>
            <w:szCs w:val="20"/>
          </w:rPr>
          <w:t>Appendix</w:t>
        </w:r>
      </w:hyperlink>
      <w:r>
        <w:rPr>
          <w:rFonts w:ascii="Arial" w:hAnsi="Arial" w:cs="Arial"/>
          <w:color w:val="000000"/>
          <w:sz w:val="20"/>
          <w:szCs w:val="20"/>
        </w:rPr>
        <w:t>.</w:t>
      </w:r>
    </w:p>
    <w:p w14:paraId="5CEB6591"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4DA44118"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31621242" w14:textId="77777777" w:rsidR="00572A17" w:rsidRDefault="00572A17" w:rsidP="00572A17">
      <w:pPr>
        <w:pStyle w:val="NormalWeb"/>
        <w:rPr>
          <w:rFonts w:ascii="Arial" w:hAnsi="Arial" w:cs="Arial"/>
          <w:bCs/>
          <w:color w:val="000000"/>
          <w:sz w:val="20"/>
          <w:szCs w:val="20"/>
        </w:rPr>
      </w:pPr>
    </w:p>
    <w:p w14:paraId="1A632DF8" w14:textId="77777777" w:rsidR="00572A17" w:rsidRDefault="00572A17" w:rsidP="00572A17">
      <w:r>
        <w:t>More details can be referred to in the below link.</w:t>
      </w:r>
    </w:p>
    <w:p w14:paraId="69E73B36"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5F425E">
          <w:rPr>
            <w:rStyle w:val="Hyperlink"/>
            <w:rFonts w:ascii="Arial" w:hAnsi="Arial" w:cs="Arial"/>
            <w:bCs/>
            <w:sz w:val="20"/>
            <w:szCs w:val="20"/>
          </w:rPr>
          <w:t>https://rbi.org.in/Scripts/NotificationUser.aspx?Id=12468&amp;Mode=0</w:t>
        </w:r>
      </w:hyperlink>
    </w:p>
    <w:p w14:paraId="66D788B1" w14:textId="77777777" w:rsidR="00572A17" w:rsidRDefault="00572A17" w:rsidP="00572A17">
      <w:pPr>
        <w:pStyle w:val="NormalWeb"/>
        <w:rPr>
          <w:rFonts w:ascii="Arial" w:hAnsi="Arial" w:cs="Arial"/>
          <w:bCs/>
          <w:color w:val="000000"/>
          <w:sz w:val="20"/>
          <w:szCs w:val="20"/>
        </w:rPr>
      </w:pPr>
    </w:p>
    <w:p w14:paraId="75A3D4BA" w14:textId="77777777" w:rsidR="00572A17" w:rsidRDefault="00572A17" w:rsidP="00572A17">
      <w:pPr>
        <w:pStyle w:val="NormalWeb"/>
        <w:rPr>
          <w:rFonts w:ascii="Arial" w:hAnsi="Arial" w:cs="Arial"/>
          <w:bCs/>
          <w:color w:val="000000"/>
          <w:sz w:val="20"/>
          <w:szCs w:val="20"/>
        </w:rPr>
      </w:pPr>
    </w:p>
    <w:p w14:paraId="2924C906" w14:textId="77777777" w:rsidR="00572A17" w:rsidRDefault="00572A17" w:rsidP="00572A17">
      <w:pPr>
        <w:pStyle w:val="NormalWeb"/>
        <w:rPr>
          <w:rFonts w:ascii="Arial" w:hAnsi="Arial" w:cs="Arial"/>
          <w:bCs/>
          <w:color w:val="000000"/>
          <w:sz w:val="20"/>
          <w:szCs w:val="20"/>
        </w:rPr>
      </w:pPr>
    </w:p>
    <w:p w14:paraId="0340C2ED" w14:textId="77777777" w:rsidR="00572A17" w:rsidRDefault="00572A17" w:rsidP="00572A17">
      <w:pPr>
        <w:pStyle w:val="NormalWeb"/>
        <w:rPr>
          <w:rFonts w:ascii="Arial" w:hAnsi="Arial" w:cs="Arial"/>
          <w:bCs/>
          <w:color w:val="000000"/>
          <w:sz w:val="20"/>
          <w:szCs w:val="20"/>
        </w:rPr>
      </w:pPr>
    </w:p>
    <w:p w14:paraId="6682A61B" w14:textId="77777777" w:rsidR="00572A17" w:rsidRDefault="00572A17" w:rsidP="00572A17">
      <w:pPr>
        <w:pStyle w:val="NormalWeb"/>
        <w:rPr>
          <w:rFonts w:ascii="Arial" w:hAnsi="Arial" w:cs="Arial"/>
          <w:bCs/>
          <w:color w:val="000000"/>
          <w:sz w:val="20"/>
          <w:szCs w:val="20"/>
        </w:rPr>
      </w:pPr>
    </w:p>
    <w:p w14:paraId="3D2B59DD" w14:textId="77777777" w:rsidR="00572A17" w:rsidRDefault="00572A17" w:rsidP="00572A17">
      <w:pPr>
        <w:pStyle w:val="NormalWeb"/>
        <w:rPr>
          <w:rFonts w:ascii="Arial" w:hAnsi="Arial" w:cs="Arial"/>
          <w:bCs/>
          <w:color w:val="000000"/>
          <w:sz w:val="20"/>
          <w:szCs w:val="20"/>
        </w:rPr>
      </w:pPr>
    </w:p>
    <w:p w14:paraId="43234E06" w14:textId="77777777" w:rsidR="00572A17" w:rsidRDefault="00572A17" w:rsidP="00572A17">
      <w:pPr>
        <w:pStyle w:val="NormalWeb"/>
        <w:rPr>
          <w:rFonts w:ascii="Arial" w:hAnsi="Arial" w:cs="Arial"/>
          <w:bCs/>
          <w:color w:val="000000"/>
          <w:sz w:val="20"/>
          <w:szCs w:val="20"/>
        </w:rPr>
      </w:pPr>
    </w:p>
    <w:p w14:paraId="3C7514BF" w14:textId="77777777" w:rsidR="00572A17" w:rsidRDefault="00572A17" w:rsidP="00572A17">
      <w:pPr>
        <w:pStyle w:val="NormalWeb"/>
        <w:rPr>
          <w:rFonts w:ascii="Arial" w:hAnsi="Arial" w:cs="Arial"/>
          <w:bCs/>
          <w:color w:val="000000"/>
          <w:sz w:val="20"/>
          <w:szCs w:val="20"/>
        </w:rPr>
      </w:pPr>
    </w:p>
    <w:p w14:paraId="72A9B1AF" w14:textId="77777777" w:rsidR="00572A17" w:rsidRDefault="00572A17" w:rsidP="00572A17">
      <w:pPr>
        <w:pStyle w:val="NormalWeb"/>
        <w:rPr>
          <w:rFonts w:ascii="Arial" w:hAnsi="Arial" w:cs="Arial"/>
          <w:bCs/>
          <w:color w:val="000000"/>
          <w:sz w:val="20"/>
          <w:szCs w:val="20"/>
        </w:rPr>
      </w:pPr>
    </w:p>
    <w:p w14:paraId="73127FA8" w14:textId="77777777" w:rsidR="00572A17" w:rsidRDefault="00572A17" w:rsidP="00572A17">
      <w:pPr>
        <w:pStyle w:val="NormalWeb"/>
        <w:rPr>
          <w:rFonts w:ascii="Arial" w:hAnsi="Arial" w:cs="Arial"/>
          <w:bCs/>
          <w:color w:val="000000"/>
          <w:sz w:val="20"/>
          <w:szCs w:val="20"/>
        </w:rPr>
      </w:pPr>
    </w:p>
    <w:p w14:paraId="27B83E41" w14:textId="77777777" w:rsidR="00572A17" w:rsidRDefault="00572A17" w:rsidP="00572A17">
      <w:pPr>
        <w:pStyle w:val="NormalWeb"/>
        <w:rPr>
          <w:rFonts w:ascii="Arial" w:hAnsi="Arial" w:cs="Arial"/>
          <w:bCs/>
          <w:color w:val="000000"/>
          <w:sz w:val="20"/>
          <w:szCs w:val="20"/>
        </w:rPr>
      </w:pPr>
    </w:p>
    <w:p w14:paraId="6238FE95" w14:textId="77777777" w:rsidR="00572A17" w:rsidRDefault="00572A17" w:rsidP="00572A17">
      <w:pPr>
        <w:pStyle w:val="NormalWeb"/>
        <w:rPr>
          <w:rFonts w:ascii="Arial" w:hAnsi="Arial" w:cs="Arial"/>
          <w:bCs/>
          <w:color w:val="000000"/>
          <w:sz w:val="20"/>
          <w:szCs w:val="20"/>
        </w:rPr>
      </w:pPr>
    </w:p>
    <w:bookmarkEnd w:id="9"/>
    <w:p w14:paraId="5A334849" w14:textId="77777777" w:rsidR="00572A17" w:rsidRDefault="00572A17" w:rsidP="009F65FC">
      <w:pPr>
        <w:rPr>
          <w:b/>
          <w:bCs/>
          <w:lang w:val="en-US"/>
        </w:rPr>
      </w:pPr>
    </w:p>
    <w:p w14:paraId="5BCDD942" w14:textId="77777777" w:rsidR="00572A17" w:rsidRDefault="00572A17" w:rsidP="00572A17">
      <w:pPr>
        <w:pStyle w:val="NormalWeb"/>
        <w:rPr>
          <w:rFonts w:ascii="Arial" w:hAnsi="Arial" w:cs="Arial"/>
          <w:b/>
          <w:bCs/>
          <w:color w:val="000000"/>
          <w:sz w:val="20"/>
          <w:szCs w:val="20"/>
        </w:rPr>
      </w:pPr>
      <w:bookmarkStart w:id="10" w:name="OLE_LINK37"/>
      <w:r>
        <w:rPr>
          <w:rFonts w:ascii="Arial" w:hAnsi="Arial" w:cs="Arial"/>
          <w:b/>
          <w:bCs/>
          <w:color w:val="000000"/>
          <w:sz w:val="20"/>
          <w:szCs w:val="20"/>
        </w:rPr>
        <w:t>Master Circular - Guarantees, Co-Acceptances &amp; Letters of Credit – UCBs</w:t>
      </w:r>
    </w:p>
    <w:bookmarkEnd w:id="10"/>
    <w:p w14:paraId="0314A15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RBI/2023-24/05</w:t>
      </w:r>
      <w:r>
        <w:rPr>
          <w:rFonts w:ascii="Arial" w:hAnsi="Arial" w:cs="Arial"/>
          <w:color w:val="000000"/>
          <w:sz w:val="20"/>
          <w:szCs w:val="20"/>
        </w:rPr>
        <w:br/>
        <w:t>DoR.STR.REC.4/09.27.000/2023-24</w:t>
      </w:r>
    </w:p>
    <w:p w14:paraId="497ED482" w14:textId="77777777" w:rsidR="00572A17" w:rsidRDefault="00572A17" w:rsidP="00572A17">
      <w:pPr>
        <w:pStyle w:val="NormalWeb"/>
        <w:jc w:val="right"/>
        <w:rPr>
          <w:rFonts w:ascii="Arial" w:hAnsi="Arial" w:cs="Arial"/>
          <w:color w:val="000000"/>
          <w:sz w:val="20"/>
          <w:szCs w:val="20"/>
        </w:rPr>
      </w:pPr>
      <w:bookmarkStart w:id="11" w:name="OLE_LINK38"/>
      <w:r>
        <w:rPr>
          <w:rFonts w:ascii="Arial" w:hAnsi="Arial" w:cs="Arial"/>
          <w:color w:val="000000"/>
          <w:sz w:val="20"/>
          <w:szCs w:val="20"/>
        </w:rPr>
        <w:t>April 1, 2023</w:t>
      </w:r>
    </w:p>
    <w:bookmarkEnd w:id="11"/>
    <w:p w14:paraId="21AB5EC4"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The Managing Director / Chief Executive Officers</w:t>
      </w:r>
      <w:r>
        <w:rPr>
          <w:rFonts w:ascii="Arial" w:hAnsi="Arial" w:cs="Arial"/>
          <w:color w:val="000000"/>
          <w:sz w:val="20"/>
          <w:szCs w:val="20"/>
        </w:rPr>
        <w:br/>
        <w:t>All Primary (Urban) Co-operative Banks</w:t>
      </w:r>
    </w:p>
    <w:p w14:paraId="465F4006"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Dear Sir / Madam,</w:t>
      </w:r>
    </w:p>
    <w:p w14:paraId="4F27F035"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Master Circular - Guarantees, Co-Acceptances &amp; Letters of Credit - UCBs</w:t>
      </w:r>
    </w:p>
    <w:p w14:paraId="4A370CC7"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Please refer to our </w:t>
      </w:r>
      <w:hyperlink r:id="rId19" w:tgtFrame="_blank" w:history="1">
        <w:r>
          <w:rPr>
            <w:rStyle w:val="Hyperlink"/>
            <w:rFonts w:ascii="Arial" w:hAnsi="Arial" w:cs="Arial"/>
            <w:sz w:val="20"/>
            <w:szCs w:val="20"/>
          </w:rPr>
          <w:t>Master Circular DoR.STR.REC.9/09.27.000/2022-23 dated April 1, 2022</w:t>
        </w:r>
      </w:hyperlink>
      <w:r>
        <w:rPr>
          <w:rFonts w:ascii="Arial" w:hAnsi="Arial" w:cs="Arial"/>
          <w:color w:val="000000"/>
          <w:sz w:val="20"/>
          <w:szCs w:val="20"/>
        </w:rPr>
        <w:t> on the captioned subject (available at RBI website </w:t>
      </w:r>
      <w:hyperlink r:id="rId20" w:tgtFrame="_blank" w:history="1">
        <w:r>
          <w:rPr>
            <w:rStyle w:val="Hyperlink"/>
            <w:rFonts w:ascii="Arial" w:hAnsi="Arial" w:cs="Arial"/>
            <w:sz w:val="20"/>
            <w:szCs w:val="20"/>
          </w:rPr>
          <w:t>https://rbi.org.in/</w:t>
        </w:r>
      </w:hyperlink>
      <w:r>
        <w:rPr>
          <w:rFonts w:ascii="Arial" w:hAnsi="Arial" w:cs="Arial"/>
          <w:color w:val="000000"/>
          <w:sz w:val="20"/>
          <w:szCs w:val="20"/>
        </w:rPr>
        <w:t>). The enclosed </w:t>
      </w:r>
      <w:hyperlink r:id="rId21" w:anchor="MC1"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March 31, 2023 as listed in the </w:t>
      </w:r>
      <w:hyperlink r:id="rId22" w:anchor="AN1" w:history="1">
        <w:r>
          <w:rPr>
            <w:rStyle w:val="Hyperlink"/>
            <w:rFonts w:ascii="Arial" w:hAnsi="Arial" w:cs="Arial"/>
            <w:sz w:val="20"/>
            <w:szCs w:val="20"/>
          </w:rPr>
          <w:t>Annex</w:t>
        </w:r>
      </w:hyperlink>
      <w:r>
        <w:rPr>
          <w:rFonts w:ascii="Arial" w:hAnsi="Arial" w:cs="Arial"/>
          <w:color w:val="000000"/>
          <w:sz w:val="20"/>
          <w:szCs w:val="20"/>
        </w:rPr>
        <w:t>.</w:t>
      </w:r>
    </w:p>
    <w:p w14:paraId="3CF1FAD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2A3208EA"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C8CD2EC" w14:textId="77777777" w:rsidR="00572A17" w:rsidRDefault="00572A17" w:rsidP="00572A17">
      <w:pPr>
        <w:pStyle w:val="NormalWeb"/>
        <w:rPr>
          <w:rFonts w:ascii="Arial" w:hAnsi="Arial" w:cs="Arial"/>
          <w:bCs/>
          <w:color w:val="000000"/>
          <w:sz w:val="20"/>
          <w:szCs w:val="20"/>
        </w:rPr>
      </w:pPr>
    </w:p>
    <w:p w14:paraId="21848060" w14:textId="77777777" w:rsidR="00572A17" w:rsidRDefault="00572A17" w:rsidP="00572A17">
      <w:r>
        <w:t>More details can be referred to in the below link.</w:t>
      </w:r>
    </w:p>
    <w:p w14:paraId="733DB824"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3" w:history="1">
        <w:r w:rsidRPr="005F425E">
          <w:rPr>
            <w:rStyle w:val="Hyperlink"/>
            <w:rFonts w:ascii="Arial" w:hAnsi="Arial" w:cs="Arial"/>
            <w:bCs/>
            <w:sz w:val="20"/>
            <w:szCs w:val="20"/>
          </w:rPr>
          <w:t>https://rbi.org.in/Scripts/NotificationUser.aspx?Id=12469&amp;Mode=0</w:t>
        </w:r>
      </w:hyperlink>
    </w:p>
    <w:p w14:paraId="21CE320B" w14:textId="77777777" w:rsidR="00572A17" w:rsidRDefault="00572A17" w:rsidP="00572A17">
      <w:pPr>
        <w:pStyle w:val="NormalWeb"/>
        <w:rPr>
          <w:rFonts w:ascii="Arial" w:hAnsi="Arial" w:cs="Arial"/>
          <w:bCs/>
          <w:color w:val="000000"/>
          <w:sz w:val="20"/>
          <w:szCs w:val="20"/>
        </w:rPr>
      </w:pPr>
    </w:p>
    <w:p w14:paraId="7E62984C" w14:textId="77777777" w:rsidR="00572A17" w:rsidRDefault="00572A17" w:rsidP="00572A17">
      <w:pPr>
        <w:pStyle w:val="NormalWeb"/>
        <w:rPr>
          <w:rFonts w:ascii="Arial" w:hAnsi="Arial" w:cs="Arial"/>
          <w:bCs/>
          <w:color w:val="000000"/>
          <w:sz w:val="20"/>
          <w:szCs w:val="20"/>
        </w:rPr>
      </w:pPr>
    </w:p>
    <w:p w14:paraId="2779A6AE" w14:textId="77777777" w:rsidR="00572A17" w:rsidRDefault="00572A17" w:rsidP="00572A17">
      <w:pPr>
        <w:pStyle w:val="NormalWeb"/>
        <w:rPr>
          <w:rFonts w:ascii="Arial" w:hAnsi="Arial" w:cs="Arial"/>
          <w:bCs/>
          <w:color w:val="000000"/>
          <w:sz w:val="20"/>
          <w:szCs w:val="20"/>
        </w:rPr>
      </w:pPr>
    </w:p>
    <w:p w14:paraId="00FC197C" w14:textId="77777777" w:rsidR="00572A17" w:rsidRDefault="00572A17" w:rsidP="00572A17">
      <w:pPr>
        <w:pStyle w:val="NormalWeb"/>
        <w:rPr>
          <w:rFonts w:ascii="Arial" w:hAnsi="Arial" w:cs="Arial"/>
          <w:bCs/>
          <w:color w:val="000000"/>
          <w:sz w:val="20"/>
          <w:szCs w:val="20"/>
        </w:rPr>
      </w:pPr>
    </w:p>
    <w:p w14:paraId="626A6D55" w14:textId="77777777" w:rsidR="00572A17" w:rsidRDefault="00572A17" w:rsidP="00572A17">
      <w:pPr>
        <w:pStyle w:val="NormalWeb"/>
        <w:rPr>
          <w:rFonts w:ascii="Arial" w:hAnsi="Arial" w:cs="Arial"/>
          <w:bCs/>
          <w:color w:val="000000"/>
          <w:sz w:val="20"/>
          <w:szCs w:val="20"/>
        </w:rPr>
      </w:pPr>
    </w:p>
    <w:p w14:paraId="27F13411" w14:textId="77777777" w:rsidR="00572A17" w:rsidRDefault="00572A17" w:rsidP="00572A17">
      <w:pPr>
        <w:pStyle w:val="NormalWeb"/>
        <w:rPr>
          <w:rFonts w:ascii="Arial" w:hAnsi="Arial" w:cs="Arial"/>
          <w:bCs/>
          <w:color w:val="000000"/>
          <w:sz w:val="20"/>
          <w:szCs w:val="20"/>
        </w:rPr>
      </w:pPr>
    </w:p>
    <w:p w14:paraId="6B673B7A" w14:textId="77777777" w:rsidR="00572A17" w:rsidRDefault="00572A17" w:rsidP="00572A17">
      <w:pPr>
        <w:pStyle w:val="NormalWeb"/>
        <w:rPr>
          <w:rFonts w:ascii="Arial" w:hAnsi="Arial" w:cs="Arial"/>
          <w:bCs/>
          <w:color w:val="000000"/>
          <w:sz w:val="20"/>
          <w:szCs w:val="20"/>
        </w:rPr>
      </w:pPr>
    </w:p>
    <w:p w14:paraId="7261A636" w14:textId="77777777" w:rsidR="00572A17" w:rsidRDefault="00572A17" w:rsidP="00572A17">
      <w:pPr>
        <w:pStyle w:val="NormalWeb"/>
        <w:rPr>
          <w:rFonts w:ascii="Arial" w:hAnsi="Arial" w:cs="Arial"/>
          <w:bCs/>
          <w:color w:val="000000"/>
          <w:sz w:val="20"/>
          <w:szCs w:val="20"/>
        </w:rPr>
      </w:pPr>
    </w:p>
    <w:p w14:paraId="27325F3A" w14:textId="77777777" w:rsidR="00572A17" w:rsidRDefault="00572A17" w:rsidP="00572A17">
      <w:pPr>
        <w:pStyle w:val="NormalWeb"/>
        <w:rPr>
          <w:rFonts w:ascii="Arial" w:hAnsi="Arial" w:cs="Arial"/>
          <w:bCs/>
          <w:color w:val="000000"/>
          <w:sz w:val="20"/>
          <w:szCs w:val="20"/>
        </w:rPr>
      </w:pPr>
    </w:p>
    <w:p w14:paraId="527C066A" w14:textId="77777777" w:rsidR="00572A17" w:rsidRDefault="00572A17" w:rsidP="00572A17">
      <w:pPr>
        <w:pStyle w:val="NormalWeb"/>
        <w:rPr>
          <w:rFonts w:ascii="Arial" w:hAnsi="Arial" w:cs="Arial"/>
          <w:bCs/>
          <w:color w:val="000000"/>
          <w:sz w:val="20"/>
          <w:szCs w:val="20"/>
        </w:rPr>
      </w:pPr>
    </w:p>
    <w:p w14:paraId="7B0F023F" w14:textId="77777777" w:rsidR="00572A17" w:rsidRDefault="00572A17" w:rsidP="00572A17">
      <w:pPr>
        <w:pStyle w:val="NormalWeb"/>
        <w:rPr>
          <w:rFonts w:ascii="Arial" w:hAnsi="Arial" w:cs="Arial"/>
          <w:bCs/>
          <w:color w:val="000000"/>
          <w:sz w:val="20"/>
          <w:szCs w:val="20"/>
        </w:rPr>
      </w:pPr>
    </w:p>
    <w:p w14:paraId="09D620C1" w14:textId="77777777" w:rsidR="00572A17" w:rsidRDefault="00572A17" w:rsidP="00572A17">
      <w:pPr>
        <w:pStyle w:val="NormalWeb"/>
        <w:rPr>
          <w:rFonts w:ascii="Arial" w:hAnsi="Arial" w:cs="Arial"/>
          <w:bCs/>
          <w:color w:val="000000"/>
          <w:sz w:val="20"/>
          <w:szCs w:val="20"/>
        </w:rPr>
      </w:pPr>
    </w:p>
    <w:p w14:paraId="6401A5D1" w14:textId="77777777" w:rsidR="00572A17" w:rsidRDefault="00572A17" w:rsidP="009F65FC">
      <w:pPr>
        <w:rPr>
          <w:b/>
          <w:bCs/>
          <w:lang w:val="en-US"/>
        </w:rPr>
      </w:pPr>
    </w:p>
    <w:p w14:paraId="1DD29466" w14:textId="77777777" w:rsidR="00572A17" w:rsidRDefault="00572A17" w:rsidP="00572A17">
      <w:pPr>
        <w:pStyle w:val="NormalWeb"/>
        <w:rPr>
          <w:rFonts w:ascii="Arial" w:hAnsi="Arial" w:cs="Arial"/>
          <w:b/>
          <w:bCs/>
          <w:color w:val="000000"/>
          <w:sz w:val="20"/>
          <w:szCs w:val="20"/>
        </w:rPr>
      </w:pPr>
      <w:bookmarkStart w:id="12" w:name="OLE_LINK40"/>
      <w:bookmarkStart w:id="13" w:name="_Hlk141825054"/>
      <w:r>
        <w:rPr>
          <w:rFonts w:ascii="Arial" w:hAnsi="Arial" w:cs="Arial"/>
          <w:b/>
          <w:bCs/>
          <w:color w:val="000000"/>
          <w:sz w:val="20"/>
          <w:szCs w:val="20"/>
        </w:rPr>
        <w:t>Master Circular - Guarantees and Co-acceptances</w:t>
      </w:r>
    </w:p>
    <w:bookmarkEnd w:id="12"/>
    <w:p w14:paraId="3293DFB4"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14:paraId="6DF9BD47"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1, 2023</w:t>
      </w:r>
    </w:p>
    <w:p w14:paraId="20DF322C"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14:paraId="2D9492A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Dear Sir / Madam</w:t>
      </w:r>
    </w:p>
    <w:p w14:paraId="37CC0F1A"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14:paraId="2A6C35E2"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4"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25"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14:paraId="145BE5FD"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2492C7F2"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E0D48C3" w14:textId="77777777" w:rsidR="00572A17" w:rsidRDefault="00572A17" w:rsidP="00572A17">
      <w:pPr>
        <w:pStyle w:val="NormalWeb"/>
        <w:rPr>
          <w:rFonts w:ascii="Arial" w:hAnsi="Arial" w:cs="Arial"/>
          <w:color w:val="000000"/>
          <w:sz w:val="20"/>
          <w:szCs w:val="20"/>
        </w:rPr>
      </w:pPr>
    </w:p>
    <w:p w14:paraId="4EAD1D02" w14:textId="77777777" w:rsidR="00572A17" w:rsidRDefault="00572A17" w:rsidP="00572A17">
      <w:pPr>
        <w:pStyle w:val="NormalWeb"/>
        <w:rPr>
          <w:rFonts w:ascii="Arial" w:hAnsi="Arial" w:cs="Arial"/>
          <w:color w:val="000000"/>
          <w:sz w:val="20"/>
          <w:szCs w:val="20"/>
        </w:rPr>
      </w:pPr>
    </w:p>
    <w:p w14:paraId="623EAA18" w14:textId="77777777" w:rsidR="00572A17" w:rsidRDefault="00572A17" w:rsidP="00572A17">
      <w:r>
        <w:t>More details can be referred to in the below link.</w:t>
      </w:r>
    </w:p>
    <w:p w14:paraId="191048CB" w14:textId="77777777" w:rsidR="00572A17" w:rsidRDefault="00572A17" w:rsidP="00572A17">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26" w:history="1">
        <w:r w:rsidRPr="005F425E">
          <w:rPr>
            <w:rStyle w:val="Hyperlink"/>
            <w:rFonts w:ascii="Arial" w:hAnsi="Arial" w:cs="Arial"/>
            <w:sz w:val="20"/>
            <w:szCs w:val="20"/>
          </w:rPr>
          <w:t>https://rbi.org.in/Scripts/NotificationUser.aspx?Id=12471&amp;Mode=0</w:t>
        </w:r>
      </w:hyperlink>
    </w:p>
    <w:p w14:paraId="20C540B5" w14:textId="77777777" w:rsidR="00572A17" w:rsidRDefault="00572A17" w:rsidP="00572A17">
      <w:pPr>
        <w:pStyle w:val="NormalWeb"/>
        <w:rPr>
          <w:rFonts w:ascii="Arial" w:hAnsi="Arial" w:cs="Arial"/>
          <w:color w:val="000000"/>
          <w:sz w:val="20"/>
          <w:szCs w:val="20"/>
        </w:rPr>
      </w:pPr>
    </w:p>
    <w:p w14:paraId="4A5012A1" w14:textId="77777777" w:rsidR="00572A17" w:rsidRDefault="00572A17" w:rsidP="00572A17">
      <w:pPr>
        <w:pStyle w:val="NormalWeb"/>
        <w:rPr>
          <w:rFonts w:ascii="Arial" w:hAnsi="Arial" w:cs="Arial"/>
          <w:color w:val="000000"/>
          <w:sz w:val="20"/>
          <w:szCs w:val="20"/>
        </w:rPr>
      </w:pPr>
    </w:p>
    <w:p w14:paraId="7CE79123" w14:textId="77777777" w:rsidR="00572A17" w:rsidRDefault="00572A17" w:rsidP="00572A17">
      <w:pPr>
        <w:pStyle w:val="NormalWeb"/>
        <w:rPr>
          <w:rFonts w:ascii="Arial" w:hAnsi="Arial" w:cs="Arial"/>
          <w:color w:val="000000"/>
          <w:sz w:val="20"/>
          <w:szCs w:val="20"/>
        </w:rPr>
      </w:pPr>
    </w:p>
    <w:p w14:paraId="5AB7E612" w14:textId="77777777" w:rsidR="00572A17" w:rsidRDefault="00572A17" w:rsidP="00572A17">
      <w:pPr>
        <w:pStyle w:val="NormalWeb"/>
        <w:rPr>
          <w:rFonts w:ascii="Arial" w:hAnsi="Arial" w:cs="Arial"/>
          <w:color w:val="000000"/>
          <w:sz w:val="20"/>
          <w:szCs w:val="20"/>
        </w:rPr>
      </w:pPr>
    </w:p>
    <w:p w14:paraId="5C023234" w14:textId="77777777" w:rsidR="00572A17" w:rsidRDefault="00572A17" w:rsidP="00572A17">
      <w:pPr>
        <w:pStyle w:val="NormalWeb"/>
        <w:rPr>
          <w:rFonts w:ascii="Arial" w:hAnsi="Arial" w:cs="Arial"/>
          <w:color w:val="000000"/>
          <w:sz w:val="20"/>
          <w:szCs w:val="20"/>
        </w:rPr>
      </w:pPr>
    </w:p>
    <w:p w14:paraId="5B4CE3C8" w14:textId="77777777" w:rsidR="00572A17" w:rsidRDefault="00572A17" w:rsidP="00572A17">
      <w:pPr>
        <w:pStyle w:val="NormalWeb"/>
        <w:rPr>
          <w:rFonts w:ascii="Arial" w:hAnsi="Arial" w:cs="Arial"/>
          <w:color w:val="000000"/>
          <w:sz w:val="20"/>
          <w:szCs w:val="20"/>
        </w:rPr>
      </w:pPr>
    </w:p>
    <w:p w14:paraId="2FCB6944" w14:textId="77777777" w:rsidR="00572A17" w:rsidRDefault="00572A17" w:rsidP="00572A17">
      <w:pPr>
        <w:pStyle w:val="NormalWeb"/>
        <w:rPr>
          <w:rFonts w:ascii="Arial" w:hAnsi="Arial" w:cs="Arial"/>
          <w:color w:val="000000"/>
          <w:sz w:val="20"/>
          <w:szCs w:val="20"/>
        </w:rPr>
      </w:pPr>
    </w:p>
    <w:p w14:paraId="299227FA" w14:textId="77777777" w:rsidR="00572A17" w:rsidRDefault="00572A17" w:rsidP="00572A17">
      <w:pPr>
        <w:pStyle w:val="NormalWeb"/>
        <w:rPr>
          <w:rFonts w:ascii="Arial" w:hAnsi="Arial" w:cs="Arial"/>
          <w:color w:val="000000"/>
          <w:sz w:val="20"/>
          <w:szCs w:val="20"/>
        </w:rPr>
      </w:pPr>
    </w:p>
    <w:p w14:paraId="6714663A" w14:textId="77777777" w:rsidR="00572A17" w:rsidRDefault="00572A17" w:rsidP="00572A17">
      <w:pPr>
        <w:pStyle w:val="NormalWeb"/>
        <w:rPr>
          <w:rFonts w:ascii="Arial" w:hAnsi="Arial" w:cs="Arial"/>
          <w:color w:val="000000"/>
          <w:sz w:val="20"/>
          <w:szCs w:val="20"/>
        </w:rPr>
      </w:pPr>
    </w:p>
    <w:p w14:paraId="14A2B90E" w14:textId="77777777" w:rsidR="00572A17" w:rsidRDefault="00572A17" w:rsidP="00572A17">
      <w:pPr>
        <w:pStyle w:val="NormalWeb"/>
        <w:rPr>
          <w:rFonts w:ascii="Arial" w:hAnsi="Arial" w:cs="Arial"/>
          <w:color w:val="000000"/>
          <w:sz w:val="20"/>
          <w:szCs w:val="20"/>
        </w:rPr>
      </w:pPr>
    </w:p>
    <w:p w14:paraId="41A21CD6" w14:textId="77777777" w:rsidR="00572A17" w:rsidRDefault="00572A17" w:rsidP="00572A17">
      <w:pPr>
        <w:pStyle w:val="NormalWeb"/>
        <w:rPr>
          <w:rFonts w:ascii="Arial" w:hAnsi="Arial" w:cs="Arial"/>
          <w:color w:val="000000"/>
          <w:sz w:val="20"/>
          <w:szCs w:val="20"/>
        </w:rPr>
      </w:pPr>
    </w:p>
    <w:bookmarkEnd w:id="13"/>
    <w:p w14:paraId="11FAE7BB" w14:textId="77777777" w:rsidR="00572A17" w:rsidRDefault="00572A17" w:rsidP="009F65FC">
      <w:pPr>
        <w:rPr>
          <w:b/>
          <w:bCs/>
          <w:lang w:val="en-US"/>
        </w:rPr>
      </w:pPr>
    </w:p>
    <w:p w14:paraId="7A4EA24A" w14:textId="77777777" w:rsidR="00572A17" w:rsidRDefault="00572A17" w:rsidP="00572A17">
      <w:pPr>
        <w:pStyle w:val="NormalWeb"/>
        <w:rPr>
          <w:rFonts w:ascii="Arial" w:hAnsi="Arial" w:cs="Arial"/>
          <w:b/>
          <w:bCs/>
          <w:color w:val="000000"/>
          <w:sz w:val="20"/>
          <w:szCs w:val="20"/>
        </w:rPr>
      </w:pPr>
      <w:bookmarkStart w:id="14" w:name="OLE_LINK41"/>
      <w:bookmarkStart w:id="15" w:name="_Hlk141825083"/>
      <w:r>
        <w:rPr>
          <w:rFonts w:ascii="Arial" w:hAnsi="Arial" w:cs="Arial"/>
          <w:b/>
          <w:bCs/>
          <w:color w:val="000000"/>
          <w:sz w:val="20"/>
          <w:szCs w:val="20"/>
        </w:rPr>
        <w:t>Master Circular - Prudential norms on Income Recognition, Asset Classification and Provisioning pertaining to Advances</w:t>
      </w:r>
    </w:p>
    <w:bookmarkEnd w:id="14"/>
    <w:p w14:paraId="35B4F8CE"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14:paraId="7AB9BD7D"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1, 2023</w:t>
      </w:r>
    </w:p>
    <w:p w14:paraId="42A76FA1"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14:paraId="2C7239D9"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Madam/Dear Sir</w:t>
      </w:r>
    </w:p>
    <w:p w14:paraId="352202D0" w14:textId="77777777" w:rsidR="00572A17" w:rsidRDefault="00572A17" w:rsidP="00572A17">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14:paraId="74D2BC40"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Please refer to the </w:t>
      </w:r>
      <w:hyperlink r:id="rId27"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14:paraId="538CE98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This </w:t>
      </w:r>
      <w:hyperlink r:id="rId28"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29" w:anchor="AN5" w:history="1">
        <w:r>
          <w:rPr>
            <w:rStyle w:val="Hyperlink"/>
            <w:rFonts w:ascii="Arial" w:hAnsi="Arial" w:cs="Arial"/>
            <w:sz w:val="20"/>
            <w:szCs w:val="20"/>
          </w:rPr>
          <w:t>Annex 5</w:t>
        </w:r>
      </w:hyperlink>
      <w:r>
        <w:rPr>
          <w:rFonts w:ascii="Arial" w:hAnsi="Arial" w:cs="Arial"/>
          <w:color w:val="000000"/>
          <w:sz w:val="20"/>
          <w:szCs w:val="20"/>
        </w:rPr>
        <w:t>.</w:t>
      </w:r>
    </w:p>
    <w:p w14:paraId="5FE78056"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4F334818"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D61AD49"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Encl.: As above</w:t>
      </w:r>
    </w:p>
    <w:p w14:paraId="2741D14B" w14:textId="77777777" w:rsidR="00572A17" w:rsidRDefault="00572A17" w:rsidP="00572A17">
      <w:pPr>
        <w:pStyle w:val="NormalWeb"/>
        <w:rPr>
          <w:rFonts w:ascii="Arial" w:hAnsi="Arial" w:cs="Arial"/>
          <w:color w:val="000000"/>
          <w:sz w:val="20"/>
          <w:szCs w:val="20"/>
        </w:rPr>
      </w:pPr>
    </w:p>
    <w:p w14:paraId="2306E2D2" w14:textId="77777777" w:rsidR="00572A17" w:rsidRDefault="00572A17" w:rsidP="00572A17">
      <w:pPr>
        <w:pStyle w:val="NormalWeb"/>
        <w:rPr>
          <w:rFonts w:ascii="Arial" w:hAnsi="Arial" w:cs="Arial"/>
          <w:color w:val="000000"/>
          <w:sz w:val="20"/>
          <w:szCs w:val="20"/>
        </w:rPr>
      </w:pPr>
    </w:p>
    <w:p w14:paraId="5A384B15" w14:textId="77777777" w:rsidR="00572A17" w:rsidRDefault="00572A17" w:rsidP="00572A17">
      <w:pPr>
        <w:pStyle w:val="NormalWeb"/>
        <w:rPr>
          <w:rFonts w:ascii="Arial" w:hAnsi="Arial" w:cs="Arial"/>
          <w:color w:val="000000"/>
          <w:sz w:val="20"/>
          <w:szCs w:val="20"/>
        </w:rPr>
      </w:pPr>
    </w:p>
    <w:p w14:paraId="3CA558B1" w14:textId="77777777" w:rsidR="00572A17" w:rsidRDefault="00572A17" w:rsidP="00572A17">
      <w:r>
        <w:t>More details can be referred to in the below link.</w:t>
      </w:r>
    </w:p>
    <w:p w14:paraId="2E486601"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0" w:history="1">
        <w:r w:rsidRPr="005F425E">
          <w:rPr>
            <w:rStyle w:val="Hyperlink"/>
            <w:rFonts w:ascii="Arial" w:hAnsi="Arial" w:cs="Arial"/>
            <w:bCs/>
            <w:sz w:val="20"/>
            <w:szCs w:val="20"/>
          </w:rPr>
          <w:t>https://rbi.org.in/Scripts/NotificationUser.aspx?Id=12472&amp;Mode=0</w:t>
        </w:r>
      </w:hyperlink>
    </w:p>
    <w:p w14:paraId="2A7DF6D4" w14:textId="77777777" w:rsidR="00572A17" w:rsidRDefault="00572A17" w:rsidP="00572A17">
      <w:pPr>
        <w:pStyle w:val="NormalWeb"/>
        <w:rPr>
          <w:rFonts w:ascii="Arial" w:hAnsi="Arial" w:cs="Arial"/>
          <w:bCs/>
          <w:color w:val="000000"/>
          <w:sz w:val="20"/>
          <w:szCs w:val="20"/>
        </w:rPr>
      </w:pPr>
    </w:p>
    <w:p w14:paraId="3D72DAEA" w14:textId="77777777" w:rsidR="00572A17" w:rsidRDefault="00572A17" w:rsidP="00572A17">
      <w:pPr>
        <w:pStyle w:val="NormalWeb"/>
        <w:rPr>
          <w:rFonts w:ascii="Arial" w:hAnsi="Arial" w:cs="Arial"/>
          <w:bCs/>
          <w:color w:val="000000"/>
          <w:sz w:val="20"/>
          <w:szCs w:val="20"/>
        </w:rPr>
      </w:pPr>
    </w:p>
    <w:p w14:paraId="7A4509D0" w14:textId="77777777" w:rsidR="00572A17" w:rsidRDefault="00572A17" w:rsidP="00572A17">
      <w:pPr>
        <w:pStyle w:val="NormalWeb"/>
        <w:rPr>
          <w:rFonts w:ascii="Arial" w:hAnsi="Arial" w:cs="Arial"/>
          <w:bCs/>
          <w:color w:val="000000"/>
          <w:sz w:val="20"/>
          <w:szCs w:val="20"/>
        </w:rPr>
      </w:pPr>
    </w:p>
    <w:p w14:paraId="4596635A" w14:textId="77777777" w:rsidR="00572A17" w:rsidRDefault="00572A17" w:rsidP="00572A17">
      <w:pPr>
        <w:pStyle w:val="NormalWeb"/>
        <w:rPr>
          <w:rFonts w:ascii="Arial" w:hAnsi="Arial" w:cs="Arial"/>
          <w:bCs/>
          <w:color w:val="000000"/>
          <w:sz w:val="20"/>
          <w:szCs w:val="20"/>
        </w:rPr>
      </w:pPr>
    </w:p>
    <w:p w14:paraId="356E5806" w14:textId="77777777" w:rsidR="00572A17" w:rsidRDefault="00572A17" w:rsidP="00572A17">
      <w:pPr>
        <w:pStyle w:val="NormalWeb"/>
        <w:rPr>
          <w:rFonts w:ascii="Arial" w:hAnsi="Arial" w:cs="Arial"/>
          <w:bCs/>
          <w:color w:val="000000"/>
          <w:sz w:val="20"/>
          <w:szCs w:val="20"/>
        </w:rPr>
      </w:pPr>
    </w:p>
    <w:p w14:paraId="6533C055" w14:textId="77777777" w:rsidR="00572A17" w:rsidRDefault="00572A17" w:rsidP="00572A17">
      <w:pPr>
        <w:pStyle w:val="NormalWeb"/>
        <w:rPr>
          <w:rFonts w:ascii="Arial" w:hAnsi="Arial" w:cs="Arial"/>
          <w:bCs/>
          <w:color w:val="000000"/>
          <w:sz w:val="20"/>
          <w:szCs w:val="20"/>
        </w:rPr>
      </w:pPr>
    </w:p>
    <w:p w14:paraId="0D667B23" w14:textId="77777777" w:rsidR="00572A17" w:rsidRDefault="00572A17" w:rsidP="00572A17">
      <w:pPr>
        <w:pStyle w:val="NormalWeb"/>
        <w:rPr>
          <w:rFonts w:ascii="Arial" w:hAnsi="Arial" w:cs="Arial"/>
          <w:bCs/>
          <w:color w:val="000000"/>
          <w:sz w:val="20"/>
          <w:szCs w:val="20"/>
        </w:rPr>
      </w:pPr>
    </w:p>
    <w:bookmarkEnd w:id="15"/>
    <w:p w14:paraId="4BFB48D8" w14:textId="77777777" w:rsidR="00572A17" w:rsidRDefault="00572A17" w:rsidP="009F65FC">
      <w:pPr>
        <w:rPr>
          <w:b/>
          <w:bCs/>
          <w:lang w:val="en-US"/>
        </w:rPr>
      </w:pPr>
    </w:p>
    <w:p w14:paraId="1A3F7088" w14:textId="77777777" w:rsidR="00572A17" w:rsidRDefault="00572A17" w:rsidP="00572A17">
      <w:pPr>
        <w:pStyle w:val="NormalWeb"/>
        <w:rPr>
          <w:rFonts w:ascii="Arial" w:hAnsi="Arial" w:cs="Arial"/>
          <w:b/>
          <w:bCs/>
          <w:color w:val="000000"/>
          <w:sz w:val="20"/>
          <w:szCs w:val="20"/>
        </w:rPr>
      </w:pPr>
      <w:bookmarkStart w:id="16" w:name="OLE_LINK44"/>
      <w:r>
        <w:rPr>
          <w:rFonts w:ascii="Arial" w:hAnsi="Arial" w:cs="Arial"/>
          <w:b/>
          <w:bCs/>
          <w:color w:val="000000"/>
          <w:sz w:val="20"/>
          <w:szCs w:val="20"/>
        </w:rPr>
        <w:t>Master Circular – Housing Finance</w:t>
      </w:r>
    </w:p>
    <w:bookmarkEnd w:id="16"/>
    <w:p w14:paraId="0ECCDEA9"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RBI/2023-24/08</w:t>
      </w:r>
      <w:r>
        <w:rPr>
          <w:rFonts w:ascii="Arial" w:hAnsi="Arial" w:cs="Arial"/>
          <w:color w:val="000000"/>
          <w:sz w:val="20"/>
          <w:szCs w:val="20"/>
        </w:rPr>
        <w:br/>
        <w:t>DOR.CRE.REC.No.06/08.12.001/2023-24</w:t>
      </w:r>
    </w:p>
    <w:p w14:paraId="6486B749"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03, 2023</w:t>
      </w:r>
    </w:p>
    <w:p w14:paraId="1F3246B6"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66CF69C4"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Dear Sir/Madam,</w:t>
      </w:r>
    </w:p>
    <w:p w14:paraId="3E196024" w14:textId="77777777" w:rsidR="00572A17" w:rsidRDefault="00572A17" w:rsidP="00572A17">
      <w:pPr>
        <w:pStyle w:val="head"/>
        <w:jc w:val="center"/>
        <w:rPr>
          <w:rFonts w:ascii="Arial" w:hAnsi="Arial" w:cs="Arial"/>
          <w:b/>
          <w:bCs/>
          <w:color w:val="000000"/>
          <w:sz w:val="20"/>
          <w:szCs w:val="20"/>
        </w:rPr>
      </w:pPr>
      <w:r>
        <w:rPr>
          <w:rFonts w:ascii="Arial" w:hAnsi="Arial" w:cs="Arial"/>
          <w:b/>
          <w:bCs/>
          <w:color w:val="000000"/>
          <w:sz w:val="20"/>
          <w:szCs w:val="20"/>
        </w:rPr>
        <w:t>Master Circular – Housing Finance</w:t>
      </w:r>
    </w:p>
    <w:p w14:paraId="6E8A1A0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1" w:tgtFrame="_blank" w:history="1">
        <w:r>
          <w:rPr>
            <w:rStyle w:val="Hyperlink"/>
            <w:rFonts w:ascii="Arial" w:hAnsi="Arial" w:cs="Arial"/>
            <w:sz w:val="20"/>
            <w:szCs w:val="20"/>
          </w:rPr>
          <w:t>Master Circular DOR.CRE.REC.No.06/08.12.001/2022-23 dated April 01, 2022</w:t>
        </w:r>
      </w:hyperlink>
      <w:r>
        <w:rPr>
          <w:rFonts w:ascii="Arial" w:hAnsi="Arial" w:cs="Arial"/>
          <w:color w:val="000000"/>
          <w:sz w:val="20"/>
          <w:szCs w:val="20"/>
        </w:rPr>
        <w:t> consolidating the instructions / guidelines issued to banks till March 31, 2022. relating to Housing Finance. This </w:t>
      </w:r>
      <w:hyperlink r:id="rId32"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43161773"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418E6F91"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05AF0E2" w14:textId="77777777" w:rsidR="00572A17" w:rsidRDefault="00572A17" w:rsidP="00572A17">
      <w:r>
        <w:t>More details can be referred to in the below link.</w:t>
      </w:r>
    </w:p>
    <w:p w14:paraId="0BD7D476"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https://rbi.org.in/Scripts/NotificationUser.aspx?Id=12475&amp;Mode=0</w:t>
        </w:r>
      </w:hyperlink>
    </w:p>
    <w:p w14:paraId="71FE7BD8" w14:textId="77777777" w:rsidR="00572A17" w:rsidRDefault="00572A17" w:rsidP="00572A17">
      <w:pPr>
        <w:pStyle w:val="NormalWeb"/>
        <w:rPr>
          <w:rFonts w:ascii="Arial" w:hAnsi="Arial" w:cs="Arial"/>
          <w:bCs/>
          <w:color w:val="000000"/>
          <w:sz w:val="20"/>
          <w:szCs w:val="20"/>
        </w:rPr>
      </w:pPr>
    </w:p>
    <w:p w14:paraId="4AE20A86" w14:textId="77777777" w:rsidR="00572A17" w:rsidRDefault="00572A17" w:rsidP="00572A17">
      <w:pPr>
        <w:pStyle w:val="NormalWeb"/>
        <w:rPr>
          <w:rFonts w:ascii="Arial" w:hAnsi="Arial" w:cs="Arial"/>
          <w:bCs/>
          <w:color w:val="000000"/>
          <w:sz w:val="20"/>
          <w:szCs w:val="20"/>
        </w:rPr>
      </w:pPr>
    </w:p>
    <w:p w14:paraId="5CBA96A9" w14:textId="77777777" w:rsidR="00572A17" w:rsidRDefault="00572A17" w:rsidP="00572A17">
      <w:pPr>
        <w:pStyle w:val="NormalWeb"/>
        <w:rPr>
          <w:rFonts w:ascii="Arial" w:hAnsi="Arial" w:cs="Arial"/>
          <w:bCs/>
          <w:color w:val="000000"/>
          <w:sz w:val="20"/>
          <w:szCs w:val="20"/>
        </w:rPr>
      </w:pPr>
    </w:p>
    <w:p w14:paraId="7D32C561" w14:textId="77777777" w:rsidR="00572A17" w:rsidRDefault="00572A17" w:rsidP="00572A17">
      <w:pPr>
        <w:pStyle w:val="NormalWeb"/>
        <w:rPr>
          <w:rFonts w:ascii="Arial" w:hAnsi="Arial" w:cs="Arial"/>
          <w:bCs/>
          <w:color w:val="000000"/>
          <w:sz w:val="20"/>
          <w:szCs w:val="20"/>
        </w:rPr>
      </w:pPr>
    </w:p>
    <w:p w14:paraId="1FCB2156" w14:textId="77777777" w:rsidR="00572A17" w:rsidRDefault="00572A17" w:rsidP="00572A17">
      <w:pPr>
        <w:pStyle w:val="NormalWeb"/>
        <w:rPr>
          <w:rFonts w:ascii="Arial" w:hAnsi="Arial" w:cs="Arial"/>
          <w:bCs/>
          <w:color w:val="000000"/>
          <w:sz w:val="20"/>
          <w:szCs w:val="20"/>
        </w:rPr>
      </w:pPr>
    </w:p>
    <w:p w14:paraId="4ECAA6E6" w14:textId="77777777" w:rsidR="00572A17" w:rsidRDefault="00572A17" w:rsidP="00572A17">
      <w:pPr>
        <w:pStyle w:val="NormalWeb"/>
        <w:rPr>
          <w:rFonts w:ascii="Arial" w:hAnsi="Arial" w:cs="Arial"/>
          <w:bCs/>
          <w:color w:val="000000"/>
          <w:sz w:val="20"/>
          <w:szCs w:val="20"/>
        </w:rPr>
      </w:pPr>
    </w:p>
    <w:p w14:paraId="4F71AA68" w14:textId="77777777" w:rsidR="00572A17" w:rsidRDefault="00572A17" w:rsidP="00572A17">
      <w:pPr>
        <w:pStyle w:val="NormalWeb"/>
        <w:rPr>
          <w:rFonts w:ascii="Arial" w:hAnsi="Arial" w:cs="Arial"/>
          <w:bCs/>
          <w:color w:val="000000"/>
          <w:sz w:val="20"/>
          <w:szCs w:val="20"/>
        </w:rPr>
      </w:pPr>
    </w:p>
    <w:p w14:paraId="56A3445A" w14:textId="77777777" w:rsidR="00572A17" w:rsidRDefault="00572A17" w:rsidP="00572A17">
      <w:pPr>
        <w:pStyle w:val="NormalWeb"/>
        <w:rPr>
          <w:rFonts w:ascii="Arial" w:hAnsi="Arial" w:cs="Arial"/>
          <w:bCs/>
          <w:color w:val="000000"/>
          <w:sz w:val="20"/>
          <w:szCs w:val="20"/>
        </w:rPr>
      </w:pPr>
    </w:p>
    <w:p w14:paraId="5082121A" w14:textId="77777777" w:rsidR="00572A17" w:rsidRDefault="00572A17" w:rsidP="00572A17">
      <w:pPr>
        <w:pStyle w:val="NormalWeb"/>
        <w:rPr>
          <w:rFonts w:ascii="Arial" w:hAnsi="Arial" w:cs="Arial"/>
          <w:bCs/>
          <w:color w:val="000000"/>
          <w:sz w:val="20"/>
          <w:szCs w:val="20"/>
        </w:rPr>
      </w:pPr>
    </w:p>
    <w:p w14:paraId="28FD4E62" w14:textId="77777777" w:rsidR="00572A17" w:rsidRDefault="00572A17" w:rsidP="00572A17">
      <w:pPr>
        <w:pStyle w:val="NormalWeb"/>
        <w:rPr>
          <w:rFonts w:ascii="Arial" w:hAnsi="Arial" w:cs="Arial"/>
          <w:bCs/>
          <w:color w:val="000000"/>
          <w:sz w:val="20"/>
          <w:szCs w:val="20"/>
        </w:rPr>
      </w:pPr>
    </w:p>
    <w:p w14:paraId="18B4BE66" w14:textId="77777777" w:rsidR="00572A17" w:rsidRDefault="00572A17" w:rsidP="00572A17">
      <w:pPr>
        <w:pStyle w:val="NormalWeb"/>
        <w:rPr>
          <w:rFonts w:ascii="Arial" w:hAnsi="Arial" w:cs="Arial"/>
          <w:bCs/>
          <w:color w:val="000000"/>
          <w:sz w:val="20"/>
          <w:szCs w:val="20"/>
        </w:rPr>
      </w:pPr>
    </w:p>
    <w:p w14:paraId="68F91CC1" w14:textId="77777777" w:rsidR="00572A17" w:rsidRDefault="00572A17" w:rsidP="00572A17">
      <w:pPr>
        <w:pStyle w:val="NormalWeb"/>
        <w:rPr>
          <w:rFonts w:ascii="Arial" w:hAnsi="Arial" w:cs="Arial"/>
          <w:bCs/>
          <w:color w:val="000000"/>
          <w:sz w:val="20"/>
          <w:szCs w:val="20"/>
        </w:rPr>
      </w:pPr>
    </w:p>
    <w:p w14:paraId="37D0FFD1" w14:textId="77777777" w:rsidR="00572A17" w:rsidRDefault="00572A17" w:rsidP="00572A17">
      <w:pPr>
        <w:pStyle w:val="NormalWeb"/>
        <w:rPr>
          <w:rFonts w:ascii="Arial" w:hAnsi="Arial" w:cs="Arial"/>
          <w:bCs/>
          <w:color w:val="000000"/>
          <w:sz w:val="20"/>
          <w:szCs w:val="20"/>
        </w:rPr>
      </w:pPr>
    </w:p>
    <w:p w14:paraId="67694358" w14:textId="77777777" w:rsidR="00572A17" w:rsidRDefault="00572A17" w:rsidP="009F65FC">
      <w:pPr>
        <w:rPr>
          <w:b/>
          <w:bCs/>
          <w:lang w:val="en-US"/>
        </w:rPr>
      </w:pPr>
    </w:p>
    <w:p w14:paraId="3C6AA2A0" w14:textId="77777777" w:rsidR="00572A17" w:rsidRDefault="00572A17" w:rsidP="00572A17">
      <w:pPr>
        <w:pStyle w:val="NormalWeb"/>
        <w:rPr>
          <w:rFonts w:ascii="Arial" w:hAnsi="Arial" w:cs="Arial"/>
          <w:b/>
          <w:bCs/>
          <w:color w:val="000000"/>
          <w:sz w:val="20"/>
          <w:szCs w:val="20"/>
        </w:rPr>
      </w:pPr>
      <w:bookmarkStart w:id="17" w:name="OLE_LINK45"/>
      <w:bookmarkStart w:id="18" w:name="_Hlk141825116"/>
      <w:r>
        <w:rPr>
          <w:rFonts w:ascii="Arial" w:hAnsi="Arial" w:cs="Arial"/>
          <w:b/>
          <w:bCs/>
          <w:color w:val="000000"/>
          <w:sz w:val="20"/>
          <w:szCs w:val="20"/>
        </w:rPr>
        <w:t>Master Circular - Bank Finance to Non-Banking Financial Companies (NBFCs)</w:t>
      </w:r>
    </w:p>
    <w:bookmarkEnd w:id="17"/>
    <w:p w14:paraId="61EDBA07"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14:paraId="78067994"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03, 2023</w:t>
      </w:r>
    </w:p>
    <w:p w14:paraId="2B73173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794E0A37"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Dear Sir,</w:t>
      </w:r>
    </w:p>
    <w:p w14:paraId="41EAE880" w14:textId="77777777" w:rsidR="00572A17" w:rsidRDefault="00572A17" w:rsidP="00572A17">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14:paraId="6BE64E8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4"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35"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7D5FEE61"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6448EEF4"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D04003F" w14:textId="77777777" w:rsidR="00572A17" w:rsidRDefault="00572A17" w:rsidP="00572A17">
      <w:pPr>
        <w:pStyle w:val="NormalWeb"/>
        <w:rPr>
          <w:rFonts w:ascii="Arial" w:hAnsi="Arial" w:cs="Arial"/>
          <w:bCs/>
          <w:color w:val="000000"/>
          <w:sz w:val="20"/>
          <w:szCs w:val="20"/>
        </w:rPr>
      </w:pPr>
    </w:p>
    <w:p w14:paraId="7D8A6985" w14:textId="77777777" w:rsidR="00572A17" w:rsidRDefault="00572A17" w:rsidP="00572A17">
      <w:r>
        <w:t>More details can be referred to in the below link.</w:t>
      </w:r>
    </w:p>
    <w:p w14:paraId="41FEFE17"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36" w:history="1">
        <w:r w:rsidRPr="005F425E">
          <w:rPr>
            <w:rStyle w:val="Hyperlink"/>
            <w:rFonts w:ascii="Arial" w:hAnsi="Arial" w:cs="Arial"/>
            <w:bCs/>
            <w:sz w:val="20"/>
            <w:szCs w:val="20"/>
          </w:rPr>
          <w:t>https://rbi.org.in/Scripts/NotificationUser.aspx?Id=12476&amp;Mode=0</w:t>
        </w:r>
      </w:hyperlink>
    </w:p>
    <w:p w14:paraId="6E668C0C" w14:textId="77777777" w:rsidR="00572A17" w:rsidRDefault="00572A17" w:rsidP="00572A17">
      <w:pPr>
        <w:pStyle w:val="NormalWeb"/>
        <w:rPr>
          <w:rFonts w:ascii="Arial" w:hAnsi="Arial" w:cs="Arial"/>
          <w:bCs/>
          <w:color w:val="000000"/>
          <w:sz w:val="20"/>
          <w:szCs w:val="20"/>
        </w:rPr>
      </w:pPr>
    </w:p>
    <w:p w14:paraId="6F17A470" w14:textId="77777777" w:rsidR="00572A17" w:rsidRDefault="00572A17" w:rsidP="00572A17">
      <w:pPr>
        <w:pStyle w:val="NormalWeb"/>
        <w:rPr>
          <w:rFonts w:ascii="Arial" w:hAnsi="Arial" w:cs="Arial"/>
          <w:bCs/>
          <w:color w:val="000000"/>
          <w:sz w:val="20"/>
          <w:szCs w:val="20"/>
        </w:rPr>
      </w:pPr>
    </w:p>
    <w:p w14:paraId="790C5518" w14:textId="77777777" w:rsidR="00572A17" w:rsidRDefault="00572A17" w:rsidP="00572A17">
      <w:pPr>
        <w:pStyle w:val="NormalWeb"/>
        <w:rPr>
          <w:rFonts w:ascii="Arial" w:hAnsi="Arial" w:cs="Arial"/>
          <w:bCs/>
          <w:color w:val="000000"/>
          <w:sz w:val="20"/>
          <w:szCs w:val="20"/>
        </w:rPr>
      </w:pPr>
    </w:p>
    <w:p w14:paraId="69297606" w14:textId="77777777" w:rsidR="00572A17" w:rsidRDefault="00572A17" w:rsidP="00572A17">
      <w:pPr>
        <w:pStyle w:val="NormalWeb"/>
        <w:rPr>
          <w:rFonts w:ascii="Arial" w:hAnsi="Arial" w:cs="Arial"/>
          <w:bCs/>
          <w:color w:val="000000"/>
          <w:sz w:val="20"/>
          <w:szCs w:val="20"/>
        </w:rPr>
      </w:pPr>
    </w:p>
    <w:p w14:paraId="76A1AB34" w14:textId="77777777" w:rsidR="00572A17" w:rsidRDefault="00572A17" w:rsidP="00572A17">
      <w:pPr>
        <w:pStyle w:val="NormalWeb"/>
        <w:rPr>
          <w:rFonts w:ascii="Arial" w:hAnsi="Arial" w:cs="Arial"/>
          <w:bCs/>
          <w:color w:val="000000"/>
          <w:sz w:val="20"/>
          <w:szCs w:val="20"/>
        </w:rPr>
      </w:pPr>
    </w:p>
    <w:p w14:paraId="3331E0BA" w14:textId="77777777" w:rsidR="00572A17" w:rsidRDefault="00572A17" w:rsidP="00572A17">
      <w:pPr>
        <w:pStyle w:val="NormalWeb"/>
        <w:rPr>
          <w:rFonts w:ascii="Arial" w:hAnsi="Arial" w:cs="Arial"/>
          <w:bCs/>
          <w:color w:val="000000"/>
          <w:sz w:val="20"/>
          <w:szCs w:val="20"/>
        </w:rPr>
      </w:pPr>
    </w:p>
    <w:p w14:paraId="1B871CB5" w14:textId="77777777" w:rsidR="00572A17" w:rsidRDefault="00572A17" w:rsidP="00572A17">
      <w:pPr>
        <w:pStyle w:val="NormalWeb"/>
        <w:rPr>
          <w:rFonts w:ascii="Arial" w:hAnsi="Arial" w:cs="Arial"/>
          <w:bCs/>
          <w:color w:val="000000"/>
          <w:sz w:val="20"/>
          <w:szCs w:val="20"/>
        </w:rPr>
      </w:pPr>
    </w:p>
    <w:p w14:paraId="29651D21" w14:textId="77777777" w:rsidR="00572A17" w:rsidRDefault="00572A17" w:rsidP="00572A17">
      <w:pPr>
        <w:pStyle w:val="NormalWeb"/>
        <w:rPr>
          <w:rFonts w:ascii="Arial" w:hAnsi="Arial" w:cs="Arial"/>
          <w:bCs/>
          <w:color w:val="000000"/>
          <w:sz w:val="20"/>
          <w:szCs w:val="20"/>
        </w:rPr>
      </w:pPr>
    </w:p>
    <w:p w14:paraId="271B3882" w14:textId="77777777" w:rsidR="00572A17" w:rsidRDefault="00572A17" w:rsidP="00572A17">
      <w:pPr>
        <w:pStyle w:val="NormalWeb"/>
        <w:rPr>
          <w:rFonts w:ascii="Arial" w:hAnsi="Arial" w:cs="Arial"/>
          <w:bCs/>
          <w:color w:val="000000"/>
          <w:sz w:val="20"/>
          <w:szCs w:val="20"/>
        </w:rPr>
      </w:pPr>
    </w:p>
    <w:p w14:paraId="5A538B92" w14:textId="77777777" w:rsidR="00572A17" w:rsidRDefault="00572A17" w:rsidP="00572A17">
      <w:pPr>
        <w:pStyle w:val="NormalWeb"/>
        <w:rPr>
          <w:rFonts w:ascii="Arial" w:hAnsi="Arial" w:cs="Arial"/>
          <w:bCs/>
          <w:color w:val="000000"/>
          <w:sz w:val="20"/>
          <w:szCs w:val="20"/>
        </w:rPr>
      </w:pPr>
    </w:p>
    <w:p w14:paraId="521E50A8" w14:textId="77777777" w:rsidR="00572A17" w:rsidRDefault="00572A17" w:rsidP="00572A17">
      <w:pPr>
        <w:pStyle w:val="NormalWeb"/>
        <w:rPr>
          <w:rFonts w:ascii="Arial" w:hAnsi="Arial" w:cs="Arial"/>
          <w:bCs/>
          <w:color w:val="000000"/>
          <w:sz w:val="20"/>
          <w:szCs w:val="20"/>
        </w:rPr>
      </w:pPr>
    </w:p>
    <w:p w14:paraId="70091718" w14:textId="77777777" w:rsidR="00572A17" w:rsidRDefault="00572A17" w:rsidP="00572A17">
      <w:pPr>
        <w:pStyle w:val="NormalWeb"/>
        <w:rPr>
          <w:rFonts w:ascii="Arial" w:hAnsi="Arial" w:cs="Arial"/>
          <w:bCs/>
          <w:color w:val="000000"/>
          <w:sz w:val="20"/>
          <w:szCs w:val="20"/>
        </w:rPr>
      </w:pPr>
    </w:p>
    <w:bookmarkEnd w:id="18"/>
    <w:p w14:paraId="1EFBC96A" w14:textId="77777777" w:rsidR="00572A17" w:rsidRDefault="00572A17" w:rsidP="009F65FC">
      <w:pPr>
        <w:rPr>
          <w:b/>
          <w:bCs/>
          <w:lang w:val="en-US"/>
        </w:rPr>
      </w:pPr>
    </w:p>
    <w:p w14:paraId="3BE477DB" w14:textId="77777777" w:rsidR="00572A17" w:rsidRDefault="00572A17" w:rsidP="009F65FC">
      <w:pPr>
        <w:rPr>
          <w:b/>
          <w:bCs/>
          <w:lang w:val="en-US"/>
        </w:rPr>
      </w:pPr>
    </w:p>
    <w:p w14:paraId="7E98F097" w14:textId="77777777" w:rsidR="00572A17" w:rsidRDefault="00572A17" w:rsidP="00572A17">
      <w:pPr>
        <w:pStyle w:val="NormalWeb"/>
        <w:rPr>
          <w:rFonts w:ascii="Arial" w:hAnsi="Arial" w:cs="Arial"/>
          <w:b/>
          <w:bCs/>
          <w:color w:val="000000"/>
          <w:sz w:val="20"/>
          <w:szCs w:val="20"/>
        </w:rPr>
      </w:pPr>
      <w:bookmarkStart w:id="19" w:name="OLE_LINK53"/>
      <w:bookmarkStart w:id="20" w:name="_Hlk141825146"/>
      <w:r>
        <w:rPr>
          <w:rFonts w:ascii="Arial" w:hAnsi="Arial" w:cs="Arial"/>
          <w:b/>
          <w:bCs/>
          <w:color w:val="000000"/>
          <w:sz w:val="20"/>
          <w:szCs w:val="20"/>
        </w:rPr>
        <w:t>Master Circular - Asset Reconstruction Companies</w:t>
      </w:r>
    </w:p>
    <w:bookmarkEnd w:id="19"/>
    <w:p w14:paraId="4C52C452"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RBI/2023-24/12</w:t>
      </w:r>
      <w:r>
        <w:rPr>
          <w:rFonts w:ascii="Arial" w:hAnsi="Arial" w:cs="Arial"/>
          <w:color w:val="000000"/>
          <w:sz w:val="20"/>
          <w:szCs w:val="20"/>
        </w:rPr>
        <w:br/>
        <w:t>DOR.SIG.FIN.REC 8/26.03.001/2023-24</w:t>
      </w:r>
    </w:p>
    <w:p w14:paraId="1E42542F"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03, 2023</w:t>
      </w:r>
    </w:p>
    <w:p w14:paraId="71A4531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14:paraId="4815305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Dear Sir/Madam,</w:t>
      </w:r>
    </w:p>
    <w:p w14:paraId="6FEB507D" w14:textId="77777777" w:rsidR="00572A17" w:rsidRDefault="00572A17" w:rsidP="00572A17">
      <w:pPr>
        <w:pStyle w:val="head"/>
        <w:jc w:val="center"/>
        <w:rPr>
          <w:rFonts w:ascii="Arial" w:hAnsi="Arial" w:cs="Arial"/>
          <w:b/>
          <w:bCs/>
          <w:color w:val="000000"/>
          <w:sz w:val="20"/>
          <w:szCs w:val="20"/>
        </w:rPr>
      </w:pPr>
      <w:r>
        <w:rPr>
          <w:rFonts w:ascii="Arial" w:hAnsi="Arial" w:cs="Arial"/>
          <w:b/>
          <w:bCs/>
          <w:color w:val="000000"/>
          <w:sz w:val="20"/>
          <w:szCs w:val="20"/>
        </w:rPr>
        <w:t>Master Circular - Asset Reconstruction Companies</w:t>
      </w:r>
    </w:p>
    <w:p w14:paraId="317BCD0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In order to have all current instructions/ guidelines on the subject at one place, the Reserve Bank of India issues updated </w:t>
      </w:r>
      <w:hyperlink r:id="rId37" w:anchor="MC1" w:history="1">
        <w:r>
          <w:rPr>
            <w:rStyle w:val="Hyperlink"/>
            <w:rFonts w:ascii="Arial" w:hAnsi="Arial" w:cs="Arial"/>
            <w:sz w:val="20"/>
            <w:szCs w:val="20"/>
          </w:rPr>
          <w:t>circulars/ guidelines</w:t>
        </w:r>
      </w:hyperlink>
      <w:r>
        <w:rPr>
          <w:rFonts w:ascii="Arial" w:hAnsi="Arial" w:cs="Arial"/>
          <w:color w:val="000000"/>
          <w:sz w:val="20"/>
          <w:szCs w:val="20"/>
        </w:rPr>
        <w:t>. The instructions contained in The Asset Reconstruction Companies (Reserve Bank) Guidelines and Directions, 2003 (vide </w:t>
      </w:r>
      <w:hyperlink r:id="rId38" w:tgtFrame="_blank" w:history="1">
        <w:r>
          <w:rPr>
            <w:rStyle w:val="Hyperlink"/>
            <w:rFonts w:ascii="Arial" w:hAnsi="Arial" w:cs="Arial"/>
            <w:sz w:val="20"/>
            <w:szCs w:val="20"/>
          </w:rPr>
          <w:t>Notification No. DNBS.2/CGM(CSM)-2003, dated April 23, 2003</w:t>
        </w:r>
      </w:hyperlink>
      <w:r>
        <w:rPr>
          <w:rFonts w:ascii="Arial" w:hAnsi="Arial" w:cs="Arial"/>
          <w:color w:val="000000"/>
          <w:sz w:val="20"/>
          <w:szCs w:val="20"/>
        </w:rPr>
        <w:t>) together with </w:t>
      </w:r>
      <w:hyperlink r:id="rId39" w:anchor="GuidanceNotes" w:history="1">
        <w:r>
          <w:rPr>
            <w:rStyle w:val="Hyperlink"/>
            <w:rFonts w:ascii="Arial" w:hAnsi="Arial" w:cs="Arial"/>
            <w:sz w:val="20"/>
            <w:szCs w:val="20"/>
          </w:rPr>
          <w:t>Guidance Notes</w:t>
        </w:r>
      </w:hyperlink>
      <w:r>
        <w:rPr>
          <w:rFonts w:ascii="Arial" w:hAnsi="Arial" w:cs="Arial"/>
          <w:color w:val="000000"/>
          <w:sz w:val="20"/>
          <w:szCs w:val="20"/>
        </w:rPr>
        <w:t> updated as on March 31, 2023 are reproduced below.</w:t>
      </w:r>
    </w:p>
    <w:p w14:paraId="7575B566"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Yours faithfully,</w:t>
      </w:r>
    </w:p>
    <w:p w14:paraId="3FBCEFCF"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14:paraId="4E48A573" w14:textId="77777777" w:rsidR="00572A17" w:rsidRDefault="00572A17" w:rsidP="00572A17">
      <w:pPr>
        <w:pStyle w:val="NormalWeb"/>
        <w:rPr>
          <w:rFonts w:ascii="Arial" w:hAnsi="Arial" w:cs="Arial"/>
          <w:bCs/>
          <w:color w:val="000000"/>
          <w:sz w:val="20"/>
          <w:szCs w:val="20"/>
        </w:rPr>
      </w:pPr>
    </w:p>
    <w:p w14:paraId="54001108" w14:textId="77777777" w:rsidR="00572A17" w:rsidRDefault="00572A17" w:rsidP="00572A17">
      <w:r>
        <w:t>More details can be referred to in the below link.</w:t>
      </w:r>
    </w:p>
    <w:p w14:paraId="219A3B19"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0" w:history="1">
        <w:r w:rsidRPr="005F425E">
          <w:rPr>
            <w:rStyle w:val="Hyperlink"/>
            <w:rFonts w:ascii="Arial" w:hAnsi="Arial" w:cs="Arial"/>
            <w:bCs/>
            <w:sz w:val="20"/>
            <w:szCs w:val="20"/>
          </w:rPr>
          <w:t>https://rbi.org.in/Scripts/NotificationUser.aspx?Id=12484&amp;Mode=0</w:t>
        </w:r>
      </w:hyperlink>
    </w:p>
    <w:p w14:paraId="34D9E3BB" w14:textId="77777777" w:rsidR="00572A17" w:rsidRDefault="00572A17" w:rsidP="00572A17">
      <w:pPr>
        <w:pStyle w:val="NormalWeb"/>
        <w:rPr>
          <w:rFonts w:ascii="Arial" w:hAnsi="Arial" w:cs="Arial"/>
          <w:bCs/>
          <w:color w:val="000000"/>
          <w:sz w:val="20"/>
          <w:szCs w:val="20"/>
        </w:rPr>
      </w:pPr>
    </w:p>
    <w:p w14:paraId="260258DF" w14:textId="77777777" w:rsidR="00572A17" w:rsidRDefault="00572A17" w:rsidP="00572A17">
      <w:pPr>
        <w:pStyle w:val="NormalWeb"/>
        <w:rPr>
          <w:rFonts w:ascii="Arial" w:hAnsi="Arial" w:cs="Arial"/>
          <w:bCs/>
          <w:color w:val="000000"/>
          <w:sz w:val="20"/>
          <w:szCs w:val="20"/>
        </w:rPr>
      </w:pPr>
    </w:p>
    <w:p w14:paraId="431837FB" w14:textId="77777777" w:rsidR="00572A17" w:rsidRDefault="00572A17" w:rsidP="00572A17">
      <w:pPr>
        <w:pStyle w:val="NormalWeb"/>
        <w:rPr>
          <w:rFonts w:ascii="Arial" w:hAnsi="Arial" w:cs="Arial"/>
          <w:bCs/>
          <w:color w:val="000000"/>
          <w:sz w:val="20"/>
          <w:szCs w:val="20"/>
        </w:rPr>
      </w:pPr>
    </w:p>
    <w:p w14:paraId="13287147" w14:textId="77777777" w:rsidR="00572A17" w:rsidRDefault="00572A17" w:rsidP="00572A17">
      <w:pPr>
        <w:pStyle w:val="NormalWeb"/>
        <w:rPr>
          <w:rFonts w:ascii="Arial" w:hAnsi="Arial" w:cs="Arial"/>
          <w:bCs/>
          <w:color w:val="000000"/>
          <w:sz w:val="20"/>
          <w:szCs w:val="20"/>
        </w:rPr>
      </w:pPr>
    </w:p>
    <w:p w14:paraId="118E6326" w14:textId="77777777" w:rsidR="00572A17" w:rsidRDefault="00572A17" w:rsidP="00572A17">
      <w:pPr>
        <w:pStyle w:val="NormalWeb"/>
        <w:rPr>
          <w:rFonts w:ascii="Arial" w:hAnsi="Arial" w:cs="Arial"/>
          <w:bCs/>
          <w:color w:val="000000"/>
          <w:sz w:val="20"/>
          <w:szCs w:val="20"/>
        </w:rPr>
      </w:pPr>
    </w:p>
    <w:p w14:paraId="1E7E5EAE" w14:textId="77777777" w:rsidR="00572A17" w:rsidRDefault="00572A17" w:rsidP="00572A17">
      <w:pPr>
        <w:pStyle w:val="NormalWeb"/>
        <w:rPr>
          <w:rFonts w:ascii="Arial" w:hAnsi="Arial" w:cs="Arial"/>
          <w:bCs/>
          <w:color w:val="000000"/>
          <w:sz w:val="20"/>
          <w:szCs w:val="20"/>
        </w:rPr>
      </w:pPr>
    </w:p>
    <w:p w14:paraId="710303B0" w14:textId="77777777" w:rsidR="00572A17" w:rsidRDefault="00572A17" w:rsidP="00572A17">
      <w:pPr>
        <w:pStyle w:val="NormalWeb"/>
        <w:rPr>
          <w:rFonts w:ascii="Arial" w:hAnsi="Arial" w:cs="Arial"/>
          <w:bCs/>
          <w:color w:val="000000"/>
          <w:sz w:val="20"/>
          <w:szCs w:val="20"/>
        </w:rPr>
      </w:pPr>
    </w:p>
    <w:p w14:paraId="1BB165E9" w14:textId="77777777" w:rsidR="00572A17" w:rsidRDefault="00572A17" w:rsidP="00572A17">
      <w:pPr>
        <w:pStyle w:val="NormalWeb"/>
        <w:rPr>
          <w:rFonts w:ascii="Arial" w:hAnsi="Arial" w:cs="Arial"/>
          <w:bCs/>
          <w:color w:val="000000"/>
          <w:sz w:val="20"/>
          <w:szCs w:val="20"/>
        </w:rPr>
      </w:pPr>
    </w:p>
    <w:p w14:paraId="7F9F4F91" w14:textId="77777777" w:rsidR="00572A17" w:rsidRDefault="00572A17" w:rsidP="00572A17">
      <w:pPr>
        <w:pStyle w:val="NormalWeb"/>
        <w:rPr>
          <w:rFonts w:ascii="Arial" w:hAnsi="Arial" w:cs="Arial"/>
          <w:bCs/>
          <w:color w:val="000000"/>
          <w:sz w:val="20"/>
          <w:szCs w:val="20"/>
        </w:rPr>
      </w:pPr>
    </w:p>
    <w:p w14:paraId="1DBC6929" w14:textId="77777777" w:rsidR="00572A17" w:rsidRDefault="00572A17" w:rsidP="00572A17">
      <w:pPr>
        <w:pStyle w:val="NormalWeb"/>
        <w:rPr>
          <w:rFonts w:ascii="Arial" w:hAnsi="Arial" w:cs="Arial"/>
          <w:bCs/>
          <w:color w:val="000000"/>
          <w:sz w:val="20"/>
          <w:szCs w:val="20"/>
        </w:rPr>
      </w:pPr>
    </w:p>
    <w:p w14:paraId="601B0A8E" w14:textId="77777777" w:rsidR="00572A17" w:rsidRDefault="00572A17" w:rsidP="00572A17">
      <w:pPr>
        <w:pStyle w:val="NormalWeb"/>
        <w:rPr>
          <w:rFonts w:ascii="Arial" w:hAnsi="Arial" w:cs="Arial"/>
          <w:bCs/>
          <w:color w:val="000000"/>
          <w:sz w:val="20"/>
          <w:szCs w:val="20"/>
        </w:rPr>
      </w:pPr>
    </w:p>
    <w:p w14:paraId="0870E06D" w14:textId="77777777" w:rsidR="00572A17" w:rsidRDefault="00572A17" w:rsidP="00572A17">
      <w:pPr>
        <w:pStyle w:val="NormalWeb"/>
        <w:rPr>
          <w:rFonts w:ascii="Arial" w:hAnsi="Arial" w:cs="Arial"/>
          <w:bCs/>
          <w:color w:val="000000"/>
          <w:sz w:val="20"/>
          <w:szCs w:val="20"/>
        </w:rPr>
      </w:pPr>
    </w:p>
    <w:bookmarkEnd w:id="20"/>
    <w:p w14:paraId="6D5E6C38" w14:textId="77777777" w:rsidR="00572A17" w:rsidRDefault="00572A17" w:rsidP="00572A17">
      <w:pPr>
        <w:spacing w:after="0"/>
        <w:rPr>
          <w:rFonts w:ascii="Arial" w:hAnsi="Arial" w:cs="Arial"/>
          <w:bCs/>
          <w:color w:val="000000"/>
          <w:sz w:val="20"/>
          <w:szCs w:val="20"/>
        </w:rPr>
      </w:pPr>
    </w:p>
    <w:p w14:paraId="254A4C97" w14:textId="77777777" w:rsidR="00572A17" w:rsidRDefault="00572A17" w:rsidP="00572A17">
      <w:pPr>
        <w:pStyle w:val="NormalWeb"/>
        <w:rPr>
          <w:rFonts w:ascii="Arial" w:hAnsi="Arial" w:cs="Arial"/>
          <w:b/>
          <w:bCs/>
          <w:color w:val="000000"/>
          <w:sz w:val="20"/>
          <w:szCs w:val="20"/>
        </w:rPr>
      </w:pPr>
      <w:r>
        <w:rPr>
          <w:rFonts w:ascii="Arial" w:hAnsi="Arial" w:cs="Arial"/>
          <w:b/>
          <w:bCs/>
          <w:color w:val="000000"/>
          <w:sz w:val="20"/>
          <w:szCs w:val="20"/>
        </w:rPr>
        <w:t>Master Circular - Housing Finance for UCBs</w:t>
      </w:r>
    </w:p>
    <w:p w14:paraId="2E690E01"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RBI/2023-24/15</w:t>
      </w:r>
      <w:r>
        <w:rPr>
          <w:rFonts w:ascii="Arial" w:hAnsi="Arial" w:cs="Arial"/>
          <w:color w:val="000000"/>
          <w:sz w:val="20"/>
          <w:szCs w:val="20"/>
        </w:rPr>
        <w:br/>
        <w:t>DOR.CRE.REC.No.9/07.10.002/2023-24</w:t>
      </w:r>
    </w:p>
    <w:p w14:paraId="0F4B0B57"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April 11, 2023</w:t>
      </w:r>
    </w:p>
    <w:p w14:paraId="4CFECD5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6617658E"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Madam/Dear Sir,</w:t>
      </w:r>
    </w:p>
    <w:p w14:paraId="2A9FDD37"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Master Circular - Housing Finance for UCBs</w:t>
      </w:r>
    </w:p>
    <w:p w14:paraId="51F65EA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1" w:tgtFrame="_blank" w:history="1">
        <w:r>
          <w:rPr>
            <w:rStyle w:val="Hyperlink"/>
            <w:rFonts w:ascii="Arial" w:hAnsi="Arial" w:cs="Arial"/>
            <w:sz w:val="20"/>
            <w:szCs w:val="20"/>
          </w:rPr>
          <w:t>Master Circular DOR.CRE.REC.No.49/09.22.010/2022-23 dated June 23, 2022</w:t>
        </w:r>
      </w:hyperlink>
      <w:r>
        <w:rPr>
          <w:rFonts w:ascii="Arial" w:hAnsi="Arial" w:cs="Arial"/>
          <w:color w:val="000000"/>
          <w:sz w:val="20"/>
          <w:szCs w:val="20"/>
        </w:rPr>
        <w:t> on the captioned subject (available at RBI website </w:t>
      </w:r>
      <w:hyperlink r:id="rId42" w:tgtFrame="_blank" w:history="1">
        <w:r>
          <w:rPr>
            <w:rStyle w:val="Hyperlink"/>
            <w:rFonts w:ascii="Arial" w:hAnsi="Arial" w:cs="Arial"/>
            <w:sz w:val="20"/>
            <w:szCs w:val="20"/>
          </w:rPr>
          <w:t>https://rbi.org.in/</w:t>
        </w:r>
      </w:hyperlink>
      <w:hyperlink r:id="rId43" w:history="1">
        <w:r>
          <w:rPr>
            <w:rStyle w:val="Hyperlink"/>
            <w:rFonts w:ascii="Arial" w:hAnsi="Arial" w:cs="Arial"/>
            <w:sz w:val="20"/>
            <w:szCs w:val="20"/>
          </w:rPr>
          <w:t>)</w:t>
        </w:r>
      </w:hyperlink>
      <w:r>
        <w:rPr>
          <w:rFonts w:ascii="Arial" w:hAnsi="Arial" w:cs="Arial"/>
          <w:color w:val="000000"/>
          <w:sz w:val="20"/>
          <w:szCs w:val="20"/>
        </w:rPr>
        <w:t>. The enclosed </w:t>
      </w:r>
      <w:hyperlink r:id="rId44" w:anchor="_Master_Circular"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14:paraId="7399CDB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6E759CED"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311219D3" w14:textId="77777777" w:rsidR="00572A17" w:rsidRDefault="00572A17" w:rsidP="00572A17">
      <w:pPr>
        <w:pStyle w:val="NormalWeb"/>
        <w:rPr>
          <w:rFonts w:ascii="Arial" w:hAnsi="Arial" w:cs="Arial"/>
          <w:b/>
          <w:bCs/>
          <w:color w:val="000000"/>
          <w:sz w:val="20"/>
          <w:szCs w:val="20"/>
        </w:rPr>
      </w:pPr>
    </w:p>
    <w:p w14:paraId="1E757285" w14:textId="77777777" w:rsidR="00572A17" w:rsidRDefault="00572A17" w:rsidP="00572A17">
      <w:pPr>
        <w:pStyle w:val="NormalWeb"/>
        <w:rPr>
          <w:rFonts w:ascii="Arial" w:hAnsi="Arial" w:cs="Arial"/>
          <w:b/>
          <w:bCs/>
          <w:color w:val="000000"/>
          <w:sz w:val="20"/>
          <w:szCs w:val="20"/>
        </w:rPr>
      </w:pPr>
    </w:p>
    <w:p w14:paraId="1AB71B01" w14:textId="77777777" w:rsidR="00572A17" w:rsidRDefault="00572A17" w:rsidP="00572A17">
      <w:pPr>
        <w:pStyle w:val="NormalWeb"/>
        <w:rPr>
          <w:rFonts w:ascii="Arial" w:hAnsi="Arial" w:cs="Arial"/>
          <w:b/>
          <w:bCs/>
          <w:color w:val="000000"/>
          <w:sz w:val="20"/>
          <w:szCs w:val="20"/>
        </w:rPr>
      </w:pPr>
    </w:p>
    <w:p w14:paraId="7D93C229" w14:textId="77777777" w:rsidR="00572A17" w:rsidRDefault="00572A17" w:rsidP="00572A17">
      <w:pPr>
        <w:pStyle w:val="NormalWeb"/>
        <w:rPr>
          <w:rFonts w:ascii="Arial" w:hAnsi="Arial" w:cs="Arial"/>
          <w:b/>
          <w:bCs/>
          <w:color w:val="000000"/>
          <w:sz w:val="20"/>
          <w:szCs w:val="20"/>
        </w:rPr>
      </w:pPr>
    </w:p>
    <w:p w14:paraId="288CA611" w14:textId="77777777" w:rsidR="00572A17" w:rsidRDefault="00572A17" w:rsidP="00572A17">
      <w:pPr>
        <w:pStyle w:val="NormalWeb"/>
        <w:rPr>
          <w:rFonts w:ascii="Arial" w:hAnsi="Arial" w:cs="Arial"/>
          <w:b/>
          <w:bCs/>
          <w:color w:val="000000"/>
          <w:sz w:val="20"/>
          <w:szCs w:val="20"/>
        </w:rPr>
      </w:pPr>
    </w:p>
    <w:p w14:paraId="36CBA7BA" w14:textId="77777777" w:rsidR="00572A17" w:rsidRDefault="00572A17" w:rsidP="00572A17">
      <w:pPr>
        <w:pStyle w:val="NormalWeb"/>
        <w:rPr>
          <w:rFonts w:ascii="Arial" w:hAnsi="Arial" w:cs="Arial"/>
          <w:b/>
          <w:bCs/>
          <w:color w:val="000000"/>
          <w:sz w:val="20"/>
          <w:szCs w:val="20"/>
        </w:rPr>
      </w:pPr>
    </w:p>
    <w:p w14:paraId="3DEE6456" w14:textId="77777777" w:rsidR="00572A17" w:rsidRDefault="00572A17" w:rsidP="00572A17">
      <w:pPr>
        <w:pStyle w:val="NormalWeb"/>
        <w:rPr>
          <w:rFonts w:ascii="Arial" w:hAnsi="Arial" w:cs="Arial"/>
          <w:b/>
          <w:bCs/>
          <w:color w:val="000000"/>
          <w:sz w:val="20"/>
          <w:szCs w:val="20"/>
        </w:rPr>
      </w:pPr>
    </w:p>
    <w:p w14:paraId="7D8C01F1" w14:textId="77777777" w:rsidR="00572A17" w:rsidRDefault="00572A17" w:rsidP="00572A17">
      <w:pPr>
        <w:spacing w:after="0"/>
      </w:pPr>
      <w:r>
        <w:t>More details can be referred to in the below link.</w:t>
      </w:r>
    </w:p>
    <w:p w14:paraId="7F337E6C"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5" w:history="1">
        <w:r w:rsidRPr="004C4073">
          <w:rPr>
            <w:rStyle w:val="Hyperlink"/>
            <w:rFonts w:ascii="Arial" w:hAnsi="Arial" w:cs="Arial"/>
            <w:bCs/>
            <w:sz w:val="20"/>
            <w:szCs w:val="20"/>
          </w:rPr>
          <w:t>https://rbi.org.in/Scripts/BS_ViewMasCirculardetails.aspx?id=12488</w:t>
        </w:r>
      </w:hyperlink>
    </w:p>
    <w:p w14:paraId="7585E972" w14:textId="77777777" w:rsidR="00572A17" w:rsidRDefault="00572A17" w:rsidP="00572A17">
      <w:pPr>
        <w:pStyle w:val="NormalWeb"/>
        <w:rPr>
          <w:rFonts w:ascii="Arial" w:hAnsi="Arial" w:cs="Arial"/>
          <w:bCs/>
          <w:color w:val="000000"/>
          <w:sz w:val="20"/>
          <w:szCs w:val="20"/>
        </w:rPr>
      </w:pPr>
    </w:p>
    <w:p w14:paraId="2D59B021" w14:textId="77777777" w:rsidR="00572A17" w:rsidRDefault="00572A17" w:rsidP="00572A17">
      <w:pPr>
        <w:pStyle w:val="NormalWeb"/>
        <w:rPr>
          <w:rFonts w:ascii="Arial" w:hAnsi="Arial" w:cs="Arial"/>
          <w:b/>
          <w:bCs/>
          <w:color w:val="000000"/>
          <w:sz w:val="20"/>
          <w:szCs w:val="20"/>
        </w:rPr>
      </w:pPr>
    </w:p>
    <w:p w14:paraId="64C6A340" w14:textId="77777777" w:rsidR="00572A17" w:rsidRDefault="00572A17" w:rsidP="00572A17">
      <w:pPr>
        <w:pStyle w:val="NormalWeb"/>
        <w:rPr>
          <w:rFonts w:ascii="Arial" w:hAnsi="Arial" w:cs="Arial"/>
          <w:b/>
          <w:bCs/>
          <w:color w:val="000000"/>
          <w:sz w:val="20"/>
          <w:szCs w:val="20"/>
        </w:rPr>
      </w:pPr>
    </w:p>
    <w:p w14:paraId="3371B01C" w14:textId="77777777" w:rsidR="00572A17" w:rsidRDefault="00572A17" w:rsidP="00572A17">
      <w:pPr>
        <w:pStyle w:val="NormalWeb"/>
        <w:rPr>
          <w:rFonts w:ascii="Arial" w:hAnsi="Arial" w:cs="Arial"/>
          <w:b/>
          <w:bCs/>
          <w:color w:val="000000"/>
          <w:sz w:val="20"/>
          <w:szCs w:val="20"/>
        </w:rPr>
      </w:pPr>
    </w:p>
    <w:p w14:paraId="2B7DDE31" w14:textId="77777777" w:rsidR="00572A17" w:rsidRDefault="00572A17" w:rsidP="00572A17">
      <w:pPr>
        <w:pStyle w:val="NormalWeb"/>
        <w:rPr>
          <w:rFonts w:ascii="Arial" w:hAnsi="Arial" w:cs="Arial"/>
          <w:b/>
          <w:bCs/>
          <w:color w:val="000000"/>
          <w:sz w:val="20"/>
          <w:szCs w:val="20"/>
        </w:rPr>
      </w:pPr>
    </w:p>
    <w:p w14:paraId="6A575677" w14:textId="77777777" w:rsidR="00572A17" w:rsidRDefault="00572A17" w:rsidP="009F65FC">
      <w:pPr>
        <w:rPr>
          <w:b/>
          <w:bCs/>
          <w:lang w:val="en-US"/>
        </w:rPr>
      </w:pPr>
    </w:p>
    <w:p w14:paraId="2AFD59E5" w14:textId="77777777" w:rsidR="00572A17" w:rsidRDefault="00572A17" w:rsidP="009F65FC">
      <w:pPr>
        <w:rPr>
          <w:b/>
          <w:bCs/>
          <w:lang w:val="en-US"/>
        </w:rPr>
      </w:pPr>
    </w:p>
    <w:p w14:paraId="2E9CDFCB" w14:textId="77777777" w:rsidR="00572A17" w:rsidRDefault="00572A17" w:rsidP="009F65FC">
      <w:pPr>
        <w:rPr>
          <w:b/>
          <w:bCs/>
          <w:lang w:val="en-US"/>
        </w:rPr>
      </w:pPr>
    </w:p>
    <w:p w14:paraId="048016BA" w14:textId="77777777" w:rsidR="00572A17" w:rsidRDefault="00572A17" w:rsidP="00572A17">
      <w:pPr>
        <w:pStyle w:val="NormalWeb"/>
        <w:rPr>
          <w:rFonts w:ascii="Arial" w:hAnsi="Arial" w:cs="Arial"/>
          <w:b/>
          <w:bCs/>
          <w:color w:val="000000"/>
          <w:sz w:val="20"/>
          <w:szCs w:val="20"/>
        </w:rPr>
      </w:pPr>
      <w:bookmarkStart w:id="21" w:name="_Hlk141825238"/>
      <w:r>
        <w:rPr>
          <w:rFonts w:ascii="Arial" w:hAnsi="Arial" w:cs="Arial"/>
          <w:b/>
          <w:bCs/>
          <w:color w:val="000000"/>
          <w:sz w:val="20"/>
          <w:szCs w:val="20"/>
        </w:rPr>
        <w:t>Provisioning for standard assets by primary (Urban) co-operative banks – revised norms under four-tiered regulatory framework</w:t>
      </w:r>
    </w:p>
    <w:p w14:paraId="40F49312" w14:textId="77777777" w:rsidR="00572A17" w:rsidRDefault="00572A17" w:rsidP="00572A17">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14:paraId="01BAE78B" w14:textId="77777777" w:rsidR="00572A17" w:rsidRDefault="00572A17" w:rsidP="00572A17">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14:paraId="7A517657" w14:textId="77777777" w:rsidR="00572A17" w:rsidRDefault="00572A17" w:rsidP="00572A17">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14:paraId="2235E65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 Dear Sir,</w:t>
      </w:r>
    </w:p>
    <w:p w14:paraId="08D15B77"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14:paraId="62AE93E2"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w:t>
      </w:r>
      <w:hyperlink r:id="rId46"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14:paraId="5E6C330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47"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48"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572A17" w14:paraId="1610DF37" w14:textId="77777777" w:rsidTr="00781F9A">
        <w:tc>
          <w:tcPr>
            <w:tcW w:w="497" w:type="pct"/>
            <w:vMerge w:val="restart"/>
            <w:tcMar>
              <w:top w:w="0" w:type="dxa"/>
              <w:left w:w="45" w:type="dxa"/>
              <w:bottom w:w="0" w:type="dxa"/>
              <w:right w:w="45" w:type="dxa"/>
            </w:tcMar>
            <w:vAlign w:val="center"/>
            <w:hideMark/>
          </w:tcPr>
          <w:p w14:paraId="77EE328F" w14:textId="77777777" w:rsidR="00572A17" w:rsidRDefault="00572A17" w:rsidP="00781F9A">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14:paraId="08169FCC" w14:textId="77777777" w:rsidR="00572A17" w:rsidRDefault="00572A17" w:rsidP="00781F9A">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14:paraId="66FD14B9" w14:textId="77777777" w:rsidR="00572A17" w:rsidRDefault="00572A17" w:rsidP="00781F9A">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572A17" w14:paraId="329257EB" w14:textId="77777777" w:rsidTr="00781F9A">
        <w:trPr>
          <w:trHeight w:val="162"/>
        </w:trPr>
        <w:tc>
          <w:tcPr>
            <w:tcW w:w="497" w:type="pct"/>
            <w:vMerge/>
            <w:vAlign w:val="center"/>
            <w:hideMark/>
          </w:tcPr>
          <w:p w14:paraId="20500AF0" w14:textId="77777777" w:rsidR="00572A17" w:rsidRDefault="00572A17" w:rsidP="00781F9A">
            <w:pPr>
              <w:jc w:val="both"/>
              <w:rPr>
                <w:rFonts w:ascii="Arial" w:hAnsi="Arial" w:cs="Arial"/>
                <w:color w:val="000000"/>
                <w:sz w:val="20"/>
                <w:szCs w:val="20"/>
              </w:rPr>
            </w:pPr>
          </w:p>
        </w:tc>
        <w:tc>
          <w:tcPr>
            <w:tcW w:w="3252" w:type="pct"/>
            <w:vMerge/>
            <w:vAlign w:val="center"/>
            <w:hideMark/>
          </w:tcPr>
          <w:p w14:paraId="39C05761" w14:textId="77777777" w:rsidR="00572A17" w:rsidRDefault="00572A17" w:rsidP="00781F9A">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14:paraId="22E4F4F0" w14:textId="77777777" w:rsidR="00572A17" w:rsidRDefault="00572A17" w:rsidP="00781F9A">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14:paraId="449566B7" w14:textId="77777777" w:rsidR="00572A17" w:rsidRDefault="00572A17" w:rsidP="00781F9A">
            <w:pPr>
              <w:jc w:val="center"/>
              <w:rPr>
                <w:rFonts w:ascii="Arial" w:hAnsi="Arial" w:cs="Arial"/>
                <w:color w:val="000000"/>
                <w:sz w:val="20"/>
                <w:szCs w:val="20"/>
              </w:rPr>
            </w:pPr>
            <w:r>
              <w:rPr>
                <w:rStyle w:val="head1"/>
                <w:rFonts w:ascii="Arial" w:hAnsi="Arial" w:cs="Arial"/>
                <w:b/>
                <w:bCs/>
                <w:color w:val="000000"/>
                <w:sz w:val="20"/>
                <w:szCs w:val="20"/>
              </w:rPr>
              <w:t>Tier I</w:t>
            </w:r>
          </w:p>
        </w:tc>
      </w:tr>
      <w:tr w:rsidR="00572A17" w14:paraId="59A8C86D" w14:textId="77777777" w:rsidTr="00781F9A">
        <w:tc>
          <w:tcPr>
            <w:tcW w:w="497" w:type="pct"/>
            <w:tcMar>
              <w:top w:w="0" w:type="dxa"/>
              <w:left w:w="45" w:type="dxa"/>
              <w:bottom w:w="0" w:type="dxa"/>
              <w:right w:w="45" w:type="dxa"/>
            </w:tcMar>
            <w:vAlign w:val="center"/>
            <w:hideMark/>
          </w:tcPr>
          <w:p w14:paraId="33439941"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14:paraId="435B2602" w14:textId="77777777" w:rsidR="00572A17" w:rsidRDefault="00572A17" w:rsidP="00781F9A">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14:paraId="1ACDFAF0"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14:paraId="6B20855A"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0.25%</w:t>
            </w:r>
          </w:p>
        </w:tc>
      </w:tr>
      <w:tr w:rsidR="00572A17" w14:paraId="16441581" w14:textId="77777777" w:rsidTr="00781F9A">
        <w:tc>
          <w:tcPr>
            <w:tcW w:w="497" w:type="pct"/>
            <w:tcMar>
              <w:top w:w="0" w:type="dxa"/>
              <w:left w:w="45" w:type="dxa"/>
              <w:bottom w:w="0" w:type="dxa"/>
              <w:right w:w="45" w:type="dxa"/>
            </w:tcMar>
            <w:vAlign w:val="center"/>
            <w:hideMark/>
          </w:tcPr>
          <w:p w14:paraId="3B1DEBD1"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14:paraId="05EC9230" w14:textId="77777777" w:rsidR="00572A17" w:rsidRDefault="00572A17" w:rsidP="00781F9A">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14:paraId="5FB0E612"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14:paraId="207727F1"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1.00%</w:t>
            </w:r>
          </w:p>
        </w:tc>
      </w:tr>
      <w:tr w:rsidR="00572A17" w14:paraId="22F447AD" w14:textId="77777777" w:rsidTr="00781F9A">
        <w:trPr>
          <w:trHeight w:val="374"/>
        </w:trPr>
        <w:tc>
          <w:tcPr>
            <w:tcW w:w="497" w:type="pct"/>
            <w:tcMar>
              <w:top w:w="0" w:type="dxa"/>
              <w:left w:w="45" w:type="dxa"/>
              <w:bottom w:w="0" w:type="dxa"/>
              <w:right w:w="45" w:type="dxa"/>
            </w:tcMar>
            <w:vAlign w:val="center"/>
            <w:hideMark/>
          </w:tcPr>
          <w:p w14:paraId="4CF9BE3E"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14:paraId="24043C33" w14:textId="77777777" w:rsidR="00572A17" w:rsidRDefault="00572A17" w:rsidP="00781F9A">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14:paraId="518624AD"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14:paraId="2239EAE0"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0.75%</w:t>
            </w:r>
          </w:p>
        </w:tc>
      </w:tr>
      <w:tr w:rsidR="00572A17" w14:paraId="3C1D64AB" w14:textId="77777777" w:rsidTr="00781F9A">
        <w:tc>
          <w:tcPr>
            <w:tcW w:w="497" w:type="pct"/>
            <w:tcMar>
              <w:top w:w="0" w:type="dxa"/>
              <w:left w:w="45" w:type="dxa"/>
              <w:bottom w:w="0" w:type="dxa"/>
              <w:right w:w="45" w:type="dxa"/>
            </w:tcMar>
            <w:vAlign w:val="center"/>
            <w:hideMark/>
          </w:tcPr>
          <w:p w14:paraId="106E8973"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14:paraId="7B9BACD5" w14:textId="77777777" w:rsidR="00572A17" w:rsidRDefault="00572A17" w:rsidP="00781F9A">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14:paraId="1E426017"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14:paraId="736D1DCE"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0.25%</w:t>
            </w:r>
          </w:p>
        </w:tc>
      </w:tr>
    </w:tbl>
    <w:p w14:paraId="4EABBF46"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14:paraId="2DD5C163" w14:textId="77777777" w:rsidR="00572A17" w:rsidRDefault="00572A17" w:rsidP="00572A17">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14:paraId="7C68CE73" w14:textId="77777777" w:rsidR="00572A17" w:rsidRDefault="00572A17" w:rsidP="00572A17">
      <w:pPr>
        <w:pStyle w:val="NormalWeb"/>
        <w:numPr>
          <w:ilvl w:val="0"/>
          <w:numId w:val="3"/>
        </w:numPr>
        <w:spacing w:before="0" w:beforeAutospacing="0"/>
        <w:ind w:left="0"/>
        <w:jc w:val="both"/>
        <w:rPr>
          <w:rFonts w:ascii="Arial" w:hAnsi="Arial" w:cs="Arial"/>
          <w:color w:val="000000"/>
          <w:sz w:val="20"/>
          <w:szCs w:val="20"/>
        </w:rPr>
      </w:pPr>
      <w:r>
        <w:rPr>
          <w:rFonts w:ascii="Arial" w:hAnsi="Arial" w:cs="Arial"/>
          <w:color w:val="000000"/>
          <w:sz w:val="20"/>
          <w:szCs w:val="20"/>
        </w:rPr>
        <w:lastRenderedPageBreak/>
        <w:t>Direct advances to agriculture and SME sectors which are standard, shall attract a uniform provisioning requirement of 0.25 percent of the funded outstanding on a portfolio basis.</w:t>
      </w:r>
    </w:p>
    <w:p w14:paraId="5BC509A9" w14:textId="77777777" w:rsidR="00572A17" w:rsidRDefault="00572A17" w:rsidP="00572A17">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14:paraId="31108A36" w14:textId="77777777" w:rsidR="00572A17" w:rsidRDefault="00572A17" w:rsidP="00572A17">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14:paraId="62931015" w14:textId="77777777" w:rsidR="00572A17" w:rsidRDefault="00572A17" w:rsidP="00572A17">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14:paraId="3EDCE6FF" w14:textId="77777777" w:rsidR="00572A17" w:rsidRDefault="00572A17" w:rsidP="00572A17">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3B9697A8" w14:textId="77777777" w:rsidR="00572A17" w:rsidRDefault="00572A17" w:rsidP="00572A17">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B44EBC3" w14:textId="77777777" w:rsidR="00572A17" w:rsidRDefault="00572A17" w:rsidP="00572A17">
      <w:pPr>
        <w:spacing w:after="0"/>
      </w:pPr>
      <w:r>
        <w:t>More details can be referred to in the below link.</w:t>
      </w:r>
    </w:p>
    <w:p w14:paraId="3E15689D"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9" w:history="1">
        <w:r w:rsidRPr="005F425E">
          <w:rPr>
            <w:rStyle w:val="Hyperlink"/>
            <w:rFonts w:ascii="Arial" w:hAnsi="Arial" w:cs="Arial"/>
            <w:bCs/>
            <w:sz w:val="20"/>
            <w:szCs w:val="20"/>
          </w:rPr>
          <w:t>https://rbi.org.in/Scripts/NotificationUser.aspx?Id=12491&amp;Mode=0</w:t>
        </w:r>
      </w:hyperlink>
    </w:p>
    <w:p w14:paraId="095A78D4" w14:textId="77777777" w:rsidR="00572A17" w:rsidRDefault="00572A17" w:rsidP="00572A17">
      <w:pPr>
        <w:pStyle w:val="NormalWeb"/>
        <w:spacing w:before="240" w:beforeAutospacing="0"/>
        <w:rPr>
          <w:rFonts w:ascii="Arial" w:hAnsi="Arial" w:cs="Arial"/>
          <w:b/>
          <w:bCs/>
          <w:color w:val="000000"/>
          <w:sz w:val="20"/>
          <w:szCs w:val="20"/>
        </w:rPr>
      </w:pPr>
      <w:bookmarkStart w:id="22" w:name="OLE_LINK68"/>
      <w:bookmarkStart w:id="23" w:name="_Hlk141826500"/>
      <w:bookmarkStart w:id="24" w:name="_Hlk141825282"/>
      <w:bookmarkEnd w:id="21"/>
      <w:r>
        <w:rPr>
          <w:rFonts w:ascii="Arial" w:hAnsi="Arial" w:cs="Arial"/>
          <w:b/>
          <w:bCs/>
          <w:color w:val="000000"/>
          <w:sz w:val="20"/>
          <w:szCs w:val="20"/>
        </w:rPr>
        <w:t>Master Circular - Income Recognition, Asset Classification, Provisioning and Other Related Matters – UCBs</w:t>
      </w:r>
    </w:p>
    <w:bookmarkEnd w:id="22"/>
    <w:p w14:paraId="6EDA21D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14:paraId="41526571"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May 08, 2023</w:t>
      </w:r>
    </w:p>
    <w:p w14:paraId="110A7C97"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14:paraId="5A5A6CD8"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 Dear Sir,</w:t>
      </w:r>
    </w:p>
    <w:p w14:paraId="5A0E78F4"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14:paraId="7843045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0"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51"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52" w:anchor="AN9" w:history="1">
        <w:r>
          <w:rPr>
            <w:rStyle w:val="Hyperlink"/>
            <w:rFonts w:ascii="Arial" w:hAnsi="Arial" w:cs="Arial"/>
            <w:sz w:val="20"/>
            <w:szCs w:val="20"/>
          </w:rPr>
          <w:t>Annex 9</w:t>
        </w:r>
      </w:hyperlink>
      <w:r>
        <w:rPr>
          <w:rFonts w:ascii="Arial" w:hAnsi="Arial" w:cs="Arial"/>
          <w:color w:val="000000"/>
          <w:sz w:val="20"/>
          <w:szCs w:val="20"/>
        </w:rPr>
        <w:t>.</w:t>
      </w:r>
    </w:p>
    <w:p w14:paraId="3E0AD71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40EBA5CA"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B4414F2" w14:textId="77777777" w:rsidR="00572A17" w:rsidRDefault="00572A17" w:rsidP="00572A17">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6DE4443B" w14:textId="77777777" w:rsidR="00572A17" w:rsidRDefault="00572A17" w:rsidP="00572A17">
      <w:pPr>
        <w:pStyle w:val="NormalWeb"/>
        <w:spacing w:before="240" w:beforeAutospacing="0"/>
        <w:rPr>
          <w:rFonts w:ascii="Arial" w:hAnsi="Arial" w:cs="Arial"/>
          <w:bCs/>
          <w:color w:val="000000"/>
          <w:sz w:val="20"/>
          <w:szCs w:val="20"/>
        </w:rPr>
      </w:pPr>
    </w:p>
    <w:p w14:paraId="691A6DBD" w14:textId="77777777" w:rsidR="00572A17" w:rsidRDefault="00572A17" w:rsidP="00572A17">
      <w:pPr>
        <w:spacing w:before="240" w:after="0"/>
      </w:pPr>
      <w:r>
        <w:t>More details can be referred to in the below link.</w:t>
      </w:r>
    </w:p>
    <w:p w14:paraId="35F0D17D" w14:textId="77777777" w:rsidR="00572A17" w:rsidRDefault="00572A17" w:rsidP="00572A17">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3" w:history="1">
        <w:r w:rsidRPr="005F425E">
          <w:rPr>
            <w:rStyle w:val="Hyperlink"/>
            <w:rFonts w:ascii="Arial" w:hAnsi="Arial" w:cs="Arial"/>
            <w:bCs/>
            <w:sz w:val="20"/>
            <w:szCs w:val="20"/>
          </w:rPr>
          <w:t>https://rbi.org.in/Scripts/NotificationUser.aspx?Id=12499&amp;Mode=0</w:t>
        </w:r>
      </w:hyperlink>
    </w:p>
    <w:p w14:paraId="72A17C7A" w14:textId="77777777" w:rsidR="00572A17" w:rsidRDefault="00572A17" w:rsidP="00572A17">
      <w:pPr>
        <w:pStyle w:val="NormalWeb"/>
        <w:spacing w:before="240" w:beforeAutospacing="0"/>
        <w:rPr>
          <w:rFonts w:ascii="Arial" w:hAnsi="Arial" w:cs="Arial"/>
          <w:bCs/>
          <w:color w:val="000000"/>
          <w:sz w:val="20"/>
          <w:szCs w:val="20"/>
        </w:rPr>
      </w:pPr>
    </w:p>
    <w:p w14:paraId="38314CE1" w14:textId="77777777" w:rsidR="00572A17" w:rsidRDefault="00572A17" w:rsidP="00572A17">
      <w:pPr>
        <w:pStyle w:val="NormalWeb"/>
        <w:spacing w:before="240" w:beforeAutospacing="0"/>
        <w:rPr>
          <w:rFonts w:ascii="Arial" w:hAnsi="Arial" w:cs="Arial"/>
          <w:bCs/>
          <w:color w:val="000000"/>
          <w:sz w:val="20"/>
          <w:szCs w:val="20"/>
        </w:rPr>
      </w:pPr>
    </w:p>
    <w:p w14:paraId="565F379E" w14:textId="77777777" w:rsidR="00572A17" w:rsidRDefault="00572A17" w:rsidP="00572A17">
      <w:pPr>
        <w:pStyle w:val="NormalWeb"/>
        <w:spacing w:before="240" w:beforeAutospacing="0"/>
        <w:rPr>
          <w:rFonts w:ascii="Arial" w:hAnsi="Arial" w:cs="Arial"/>
          <w:bCs/>
          <w:color w:val="000000"/>
          <w:sz w:val="20"/>
          <w:szCs w:val="20"/>
        </w:rPr>
      </w:pPr>
    </w:p>
    <w:p w14:paraId="1DE5871C" w14:textId="77777777" w:rsidR="00572A17" w:rsidRDefault="00572A17" w:rsidP="00572A17">
      <w:pPr>
        <w:pStyle w:val="NormalWeb"/>
        <w:spacing w:before="240" w:beforeAutospacing="0"/>
        <w:rPr>
          <w:rFonts w:ascii="Arial" w:hAnsi="Arial" w:cs="Arial"/>
          <w:bCs/>
          <w:color w:val="000000"/>
          <w:sz w:val="20"/>
          <w:szCs w:val="20"/>
        </w:rPr>
      </w:pPr>
    </w:p>
    <w:p w14:paraId="097D076E" w14:textId="77777777" w:rsidR="00572A17" w:rsidRDefault="00572A17" w:rsidP="00572A17">
      <w:pPr>
        <w:pStyle w:val="NormalWeb"/>
        <w:spacing w:before="240" w:beforeAutospacing="0"/>
        <w:rPr>
          <w:rFonts w:ascii="Arial" w:hAnsi="Arial" w:cs="Arial"/>
          <w:bCs/>
          <w:color w:val="000000"/>
          <w:sz w:val="20"/>
          <w:szCs w:val="20"/>
        </w:rPr>
      </w:pPr>
    </w:p>
    <w:p w14:paraId="1C92BAAA" w14:textId="77777777" w:rsidR="00572A17" w:rsidRDefault="00572A17" w:rsidP="00572A17">
      <w:pPr>
        <w:pStyle w:val="NormalWeb"/>
        <w:spacing w:before="240" w:beforeAutospacing="0"/>
        <w:rPr>
          <w:rFonts w:ascii="Arial" w:hAnsi="Arial" w:cs="Arial"/>
          <w:bCs/>
          <w:color w:val="000000"/>
          <w:sz w:val="20"/>
          <w:szCs w:val="20"/>
        </w:rPr>
      </w:pPr>
    </w:p>
    <w:p w14:paraId="440FCBF9" w14:textId="77777777" w:rsidR="00572A17" w:rsidRDefault="00572A17" w:rsidP="00572A17">
      <w:pPr>
        <w:pStyle w:val="NormalWeb"/>
        <w:spacing w:before="240" w:beforeAutospacing="0"/>
        <w:rPr>
          <w:rFonts w:ascii="Arial" w:hAnsi="Arial" w:cs="Arial"/>
          <w:bCs/>
          <w:color w:val="000000"/>
          <w:sz w:val="20"/>
          <w:szCs w:val="20"/>
        </w:rPr>
      </w:pPr>
    </w:p>
    <w:p w14:paraId="2D10DC7C" w14:textId="77777777" w:rsidR="00572A17" w:rsidRDefault="00572A17" w:rsidP="00572A17">
      <w:pPr>
        <w:pStyle w:val="NormalWeb"/>
        <w:spacing w:before="240" w:beforeAutospacing="0"/>
        <w:rPr>
          <w:rFonts w:ascii="Arial" w:hAnsi="Arial" w:cs="Arial"/>
          <w:bCs/>
          <w:color w:val="000000"/>
          <w:sz w:val="20"/>
          <w:szCs w:val="20"/>
        </w:rPr>
      </w:pPr>
    </w:p>
    <w:p w14:paraId="7AE75065" w14:textId="77777777" w:rsidR="00572A17" w:rsidRDefault="00572A17" w:rsidP="00572A17">
      <w:pPr>
        <w:pStyle w:val="NormalWeb"/>
        <w:spacing w:before="240" w:beforeAutospacing="0"/>
        <w:rPr>
          <w:rFonts w:ascii="Arial" w:hAnsi="Arial" w:cs="Arial"/>
          <w:bCs/>
          <w:color w:val="000000"/>
          <w:sz w:val="20"/>
          <w:szCs w:val="20"/>
        </w:rPr>
      </w:pPr>
    </w:p>
    <w:p w14:paraId="17041A3F" w14:textId="77777777" w:rsidR="00572A17" w:rsidRDefault="00572A17" w:rsidP="00572A17">
      <w:pPr>
        <w:pStyle w:val="NormalWeb"/>
        <w:spacing w:before="240" w:beforeAutospacing="0"/>
        <w:rPr>
          <w:rFonts w:ascii="Arial" w:hAnsi="Arial" w:cs="Arial"/>
          <w:bCs/>
          <w:color w:val="000000"/>
          <w:sz w:val="20"/>
          <w:szCs w:val="20"/>
        </w:rPr>
      </w:pPr>
    </w:p>
    <w:bookmarkEnd w:id="23"/>
    <w:p w14:paraId="136F9790" w14:textId="77777777" w:rsidR="00572A17" w:rsidRDefault="00572A17" w:rsidP="00572A17">
      <w:pPr>
        <w:pStyle w:val="NormalWeb"/>
        <w:spacing w:before="240" w:beforeAutospacing="0"/>
        <w:rPr>
          <w:rFonts w:ascii="Arial" w:hAnsi="Arial" w:cs="Arial"/>
          <w:bCs/>
          <w:color w:val="000000"/>
          <w:sz w:val="20"/>
          <w:szCs w:val="20"/>
        </w:rPr>
      </w:pPr>
    </w:p>
    <w:p w14:paraId="6A8807B9" w14:textId="77777777" w:rsidR="00572A17" w:rsidRDefault="00572A17" w:rsidP="00572A17">
      <w:pPr>
        <w:pStyle w:val="NormalWeb"/>
        <w:spacing w:before="240" w:beforeAutospacing="0"/>
        <w:rPr>
          <w:rFonts w:ascii="Arial" w:hAnsi="Arial" w:cs="Arial"/>
          <w:b/>
          <w:bCs/>
          <w:color w:val="000000"/>
          <w:sz w:val="20"/>
          <w:szCs w:val="20"/>
        </w:rPr>
      </w:pPr>
      <w:bookmarkStart w:id="25" w:name="OLE_LINK69"/>
      <w:bookmarkStart w:id="26" w:name="_Hlk141825311"/>
      <w:bookmarkEnd w:id="24"/>
      <w:r>
        <w:rPr>
          <w:rFonts w:ascii="Arial" w:hAnsi="Arial" w:cs="Arial"/>
          <w:b/>
          <w:bCs/>
          <w:color w:val="000000"/>
          <w:sz w:val="20"/>
          <w:szCs w:val="20"/>
        </w:rPr>
        <w:t>Formalisation of Informal Micro Enterprises on Udyam Assist Platform</w:t>
      </w:r>
    </w:p>
    <w:bookmarkEnd w:id="25"/>
    <w:p w14:paraId="7F9D2BC1"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14:paraId="4BA48C5D"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May 09, 2023</w:t>
      </w:r>
    </w:p>
    <w:p w14:paraId="02A9B25E"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14:paraId="432C66D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Dear Sir / Madam</w:t>
      </w:r>
    </w:p>
    <w:p w14:paraId="197108EB"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14:paraId="206FD133"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4"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14:paraId="7CB96358"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14:paraId="6F2534A8"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55"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14:paraId="0161FD7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 xml:space="preserve">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w:t>
      </w:r>
      <w:r>
        <w:rPr>
          <w:rFonts w:ascii="Arial" w:hAnsi="Arial" w:cs="Arial"/>
          <w:color w:val="000000"/>
          <w:sz w:val="20"/>
          <w:szCs w:val="20"/>
        </w:rPr>
        <w:lastRenderedPageBreak/>
        <w:t>IMEs for the purpose of UAP. Accordingly, IMEs are those enterprises that are not covered in the Goods and Services Tax regime.</w:t>
      </w:r>
    </w:p>
    <w:p w14:paraId="27451EB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14:paraId="21B70DB9"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14:paraId="069631A3"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4AFAF79E" w14:textId="77777777" w:rsidR="00572A17" w:rsidRPr="00CF0AC9" w:rsidRDefault="00572A17" w:rsidP="00572A17">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18FA4FD7" w14:textId="77777777" w:rsidR="00572A17" w:rsidRDefault="00572A17" w:rsidP="00572A17">
      <w:pPr>
        <w:spacing w:before="240" w:after="0"/>
      </w:pPr>
      <w:r>
        <w:t>More details can be referred to in the below link.</w:t>
      </w:r>
    </w:p>
    <w:p w14:paraId="55D5A865" w14:textId="77777777" w:rsidR="00572A17" w:rsidRDefault="00572A17" w:rsidP="00572A17">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6" w:history="1">
        <w:r w:rsidRPr="005F425E">
          <w:rPr>
            <w:rStyle w:val="Hyperlink"/>
            <w:rFonts w:ascii="Arial" w:hAnsi="Arial" w:cs="Arial"/>
            <w:bCs/>
            <w:sz w:val="20"/>
            <w:szCs w:val="20"/>
          </w:rPr>
          <w:t>https://rbi.org.in/Scripts/NotificationUser.aspx?Id=12500&amp;Mode=0</w:t>
        </w:r>
      </w:hyperlink>
    </w:p>
    <w:p w14:paraId="093A5342" w14:textId="77777777" w:rsidR="00572A17" w:rsidRDefault="00572A17" w:rsidP="00572A17">
      <w:pPr>
        <w:pStyle w:val="NormalWeb"/>
        <w:spacing w:before="240" w:beforeAutospacing="0"/>
        <w:rPr>
          <w:rFonts w:ascii="Arial" w:hAnsi="Arial" w:cs="Arial"/>
          <w:b/>
          <w:bCs/>
          <w:color w:val="000000"/>
          <w:sz w:val="20"/>
          <w:szCs w:val="20"/>
        </w:rPr>
      </w:pPr>
      <w:bookmarkStart w:id="27" w:name="OLE_LINK72"/>
      <w:bookmarkStart w:id="28" w:name="_Hlk141826534"/>
      <w:bookmarkEnd w:id="26"/>
      <w:r>
        <w:rPr>
          <w:rFonts w:ascii="Arial" w:hAnsi="Arial" w:cs="Arial"/>
          <w:b/>
          <w:bCs/>
          <w:color w:val="000000"/>
          <w:sz w:val="20"/>
          <w:szCs w:val="20"/>
        </w:rPr>
        <w:t>LIBOR Transition</w:t>
      </w:r>
    </w:p>
    <w:bookmarkEnd w:id="27"/>
    <w:p w14:paraId="1D98AE0C" w14:textId="77777777" w:rsidR="00572A17" w:rsidRDefault="00572A17" w:rsidP="00572A17">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0559B624"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May 12, 2023</w:t>
      </w:r>
    </w:p>
    <w:p w14:paraId="5DAD23E5"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To</w:t>
      </w:r>
    </w:p>
    <w:p w14:paraId="5646F775"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7B903996" w14:textId="77777777" w:rsidR="00572A17" w:rsidRDefault="00572A17" w:rsidP="00572A17">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66FE39E2" w14:textId="77777777" w:rsidR="00572A17" w:rsidRDefault="00572A17" w:rsidP="00572A17">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41FF7FD3"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57"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01D78AA3"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44EE3F8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lastRenderedPageBreak/>
        <w:t>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Pvt. Ltd. (FBIL) after June 30, 2023.</w:t>
      </w:r>
    </w:p>
    <w:p w14:paraId="03089769" w14:textId="77777777" w:rsidR="00572A17" w:rsidRDefault="00572A17" w:rsidP="00572A17">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7BA54E70" w14:textId="77777777" w:rsidR="00572A17" w:rsidRDefault="00572A17" w:rsidP="00572A17">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0FBF20D8" w14:textId="77777777" w:rsidR="00572A17" w:rsidRDefault="00572A17" w:rsidP="00572A17">
      <w:pPr>
        <w:spacing w:before="240" w:after="0"/>
      </w:pPr>
      <w:r>
        <w:t>More details can be referred to in the below link.</w:t>
      </w:r>
    </w:p>
    <w:p w14:paraId="325BB624" w14:textId="77777777" w:rsidR="00572A17" w:rsidRDefault="00572A17" w:rsidP="00572A17">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8" w:history="1">
        <w:r w:rsidRPr="005F425E">
          <w:rPr>
            <w:rStyle w:val="Hyperlink"/>
            <w:rFonts w:ascii="Arial" w:hAnsi="Arial" w:cs="Arial"/>
            <w:bCs/>
            <w:sz w:val="20"/>
            <w:szCs w:val="20"/>
          </w:rPr>
          <w:t>https://rbi.org.in/Scripts/NotificationUser.aspx?Id=12503&amp;Mode=0</w:t>
        </w:r>
      </w:hyperlink>
    </w:p>
    <w:p w14:paraId="03675B59" w14:textId="77777777" w:rsidR="00572A17" w:rsidRDefault="00572A17" w:rsidP="00572A17">
      <w:pPr>
        <w:pStyle w:val="NormalWeb"/>
        <w:spacing w:before="0" w:beforeAutospacing="0"/>
        <w:rPr>
          <w:rFonts w:ascii="Arial" w:hAnsi="Arial" w:cs="Arial"/>
          <w:b/>
          <w:bCs/>
          <w:color w:val="000000"/>
          <w:sz w:val="20"/>
          <w:szCs w:val="20"/>
        </w:rPr>
      </w:pPr>
    </w:p>
    <w:p w14:paraId="2F2817C3" w14:textId="77777777" w:rsidR="00572A17" w:rsidRDefault="00572A17" w:rsidP="00572A17">
      <w:pPr>
        <w:pStyle w:val="NormalWeb"/>
        <w:spacing w:before="0" w:beforeAutospacing="0"/>
        <w:rPr>
          <w:rFonts w:ascii="Arial" w:hAnsi="Arial" w:cs="Arial"/>
          <w:b/>
          <w:bCs/>
          <w:color w:val="000000"/>
          <w:sz w:val="20"/>
          <w:szCs w:val="20"/>
        </w:rPr>
      </w:pPr>
    </w:p>
    <w:bookmarkEnd w:id="28"/>
    <w:p w14:paraId="30FB9343" w14:textId="77777777" w:rsidR="00572A17" w:rsidRDefault="00572A17" w:rsidP="009F65FC">
      <w:pPr>
        <w:rPr>
          <w:b/>
          <w:bCs/>
          <w:lang w:val="en-US"/>
        </w:rPr>
      </w:pPr>
    </w:p>
    <w:p w14:paraId="4077553E" w14:textId="77777777" w:rsidR="00572A17" w:rsidRDefault="00572A17" w:rsidP="00572A17">
      <w:pPr>
        <w:pStyle w:val="NormalWeb"/>
        <w:spacing w:before="240" w:beforeAutospacing="0"/>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3D0DF8D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14:paraId="5C10880E"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June 08, 2023</w:t>
      </w:r>
    </w:p>
    <w:p w14:paraId="01405828"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14:paraId="1C82AC8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Madam/Dear Sir,</w:t>
      </w:r>
    </w:p>
    <w:p w14:paraId="5C229C00"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36C79E3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59"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b/>
          <w:bCs/>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60"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61" w:anchor="AN" w:history="1">
        <w:r>
          <w:rPr>
            <w:rStyle w:val="Hyperlink"/>
            <w:rFonts w:ascii="Arial" w:hAnsi="Arial" w:cs="Arial"/>
            <w:sz w:val="20"/>
            <w:szCs w:val="20"/>
          </w:rPr>
          <w:t>Annex</w:t>
        </w:r>
      </w:hyperlink>
      <w:r>
        <w:rPr>
          <w:rFonts w:ascii="Arial" w:hAnsi="Arial" w:cs="Arial"/>
          <w:color w:val="000000"/>
          <w:sz w:val="20"/>
          <w:szCs w:val="20"/>
        </w:rPr>
        <w:t>.</w:t>
      </w:r>
    </w:p>
    <w:p w14:paraId="230E00B9"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14:paraId="6B3E7107"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14:paraId="5582FFBF"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1D9A12F0"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lastRenderedPageBreak/>
        <w:t>(Manoranjan Mishra)</w:t>
      </w:r>
      <w:r>
        <w:rPr>
          <w:rFonts w:ascii="Arial" w:hAnsi="Arial" w:cs="Arial"/>
          <w:color w:val="000000"/>
          <w:sz w:val="20"/>
          <w:szCs w:val="20"/>
        </w:rPr>
        <w:br/>
        <w:t>Chief General Manager</w:t>
      </w:r>
    </w:p>
    <w:p w14:paraId="3AD53EC7" w14:textId="77777777" w:rsidR="00572A17" w:rsidRDefault="00572A17" w:rsidP="00572A17">
      <w:pPr>
        <w:pStyle w:val="NormalWeb"/>
        <w:spacing w:before="240" w:beforeAutospacing="0"/>
        <w:rPr>
          <w:rFonts w:ascii="Arial" w:hAnsi="Arial" w:cs="Arial"/>
          <w:color w:val="000000"/>
          <w:sz w:val="20"/>
          <w:szCs w:val="20"/>
        </w:rPr>
      </w:pPr>
    </w:p>
    <w:p w14:paraId="21D63DF9" w14:textId="77777777" w:rsidR="00572A17" w:rsidRDefault="00572A17" w:rsidP="00572A17">
      <w:pPr>
        <w:spacing w:before="240" w:after="0"/>
      </w:pPr>
      <w:r>
        <w:t>More details can be referred to in the below link.</w:t>
      </w:r>
    </w:p>
    <w:p w14:paraId="33143F97" w14:textId="77777777" w:rsidR="00572A17" w:rsidRDefault="00572A17" w:rsidP="00572A17">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2" w:history="1">
        <w:r w:rsidRPr="005F425E">
          <w:rPr>
            <w:rStyle w:val="Hyperlink"/>
            <w:rFonts w:ascii="Arial" w:hAnsi="Arial" w:cs="Arial"/>
            <w:bCs/>
            <w:sz w:val="20"/>
            <w:szCs w:val="20"/>
          </w:rPr>
          <w:t>https://rbi.org.in/Scripts/NotificationUser.aspx?Id=12513&amp;Mode=0</w:t>
        </w:r>
      </w:hyperlink>
    </w:p>
    <w:p w14:paraId="2AD85E4C" w14:textId="77777777" w:rsidR="00572A17" w:rsidRDefault="00572A17" w:rsidP="00572A17">
      <w:pPr>
        <w:pStyle w:val="NormalWeb"/>
        <w:spacing w:before="240" w:beforeAutospacing="0"/>
        <w:rPr>
          <w:rFonts w:ascii="Arial" w:hAnsi="Arial" w:cs="Arial"/>
          <w:bCs/>
          <w:color w:val="000000"/>
          <w:sz w:val="20"/>
          <w:szCs w:val="20"/>
        </w:rPr>
      </w:pPr>
    </w:p>
    <w:p w14:paraId="49A6464D" w14:textId="77777777" w:rsidR="00572A17" w:rsidRDefault="00572A17" w:rsidP="00572A17">
      <w:pPr>
        <w:pStyle w:val="NormalWeb"/>
        <w:spacing w:before="240" w:beforeAutospacing="0"/>
        <w:rPr>
          <w:rFonts w:ascii="Arial" w:hAnsi="Arial" w:cs="Arial"/>
          <w:bCs/>
          <w:color w:val="000000"/>
          <w:sz w:val="20"/>
          <w:szCs w:val="20"/>
        </w:rPr>
      </w:pPr>
    </w:p>
    <w:p w14:paraId="0AE3D6C3" w14:textId="77777777" w:rsidR="00572A17" w:rsidRDefault="00572A17" w:rsidP="00572A17">
      <w:pPr>
        <w:pStyle w:val="NormalWeb"/>
        <w:spacing w:before="240" w:beforeAutospacing="0"/>
        <w:rPr>
          <w:rFonts w:ascii="Arial" w:hAnsi="Arial" w:cs="Arial"/>
          <w:bCs/>
          <w:color w:val="000000"/>
          <w:sz w:val="20"/>
          <w:szCs w:val="20"/>
        </w:rPr>
      </w:pPr>
    </w:p>
    <w:p w14:paraId="61B2A1B2" w14:textId="77777777" w:rsidR="00572A17" w:rsidRDefault="00572A17" w:rsidP="00572A17">
      <w:pPr>
        <w:pStyle w:val="NormalWeb"/>
        <w:spacing w:before="240" w:beforeAutospacing="0"/>
        <w:rPr>
          <w:rFonts w:ascii="Arial" w:hAnsi="Arial" w:cs="Arial"/>
          <w:bCs/>
          <w:color w:val="000000"/>
          <w:sz w:val="20"/>
          <w:szCs w:val="20"/>
        </w:rPr>
      </w:pPr>
    </w:p>
    <w:p w14:paraId="33804141" w14:textId="77777777" w:rsidR="00572A17" w:rsidRDefault="00572A17" w:rsidP="009F65FC">
      <w:pPr>
        <w:rPr>
          <w:b/>
          <w:bCs/>
          <w:lang w:val="en-US"/>
        </w:rPr>
      </w:pPr>
    </w:p>
    <w:p w14:paraId="554F1059" w14:textId="77777777" w:rsidR="00572A17" w:rsidRDefault="00572A17" w:rsidP="00572A17">
      <w:pPr>
        <w:pStyle w:val="NormalWeb"/>
        <w:spacing w:before="240" w:beforeAutospacing="0"/>
        <w:rPr>
          <w:rFonts w:ascii="Arial" w:hAnsi="Arial" w:cs="Arial"/>
          <w:b/>
          <w:bCs/>
          <w:color w:val="000000"/>
          <w:sz w:val="20"/>
          <w:szCs w:val="20"/>
        </w:rPr>
      </w:pPr>
      <w:bookmarkStart w:id="29" w:name="OLE_LINK82"/>
      <w:bookmarkStart w:id="30" w:name="_Hlk141826701"/>
      <w:r>
        <w:rPr>
          <w:rFonts w:ascii="Arial" w:hAnsi="Arial" w:cs="Arial"/>
          <w:b/>
          <w:bCs/>
          <w:color w:val="000000"/>
          <w:sz w:val="20"/>
          <w:szCs w:val="20"/>
        </w:rPr>
        <w:t>Guidelines on Default Loss Guarantee (DLG) in Digital Lending</w:t>
      </w:r>
    </w:p>
    <w:bookmarkEnd w:id="29"/>
    <w:p w14:paraId="5533021E"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20E5264C"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June 08, 2023</w:t>
      </w:r>
    </w:p>
    <w:p w14:paraId="11FAEC95"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6252C1B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Dear Sir,</w:t>
      </w:r>
    </w:p>
    <w:p w14:paraId="1BDF0637" w14:textId="77777777" w:rsidR="00572A17" w:rsidRDefault="00572A17" w:rsidP="00572A17">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55FE394E"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63"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14E95090"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64"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65"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66"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55C45504"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67FE56D6"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23564E86"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410F2B0B"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DF31FF5" w14:textId="77777777" w:rsidR="00572A17" w:rsidRDefault="00572A17" w:rsidP="00572A17">
      <w:pPr>
        <w:spacing w:before="240" w:after="0"/>
      </w:pPr>
      <w:r>
        <w:lastRenderedPageBreak/>
        <w:t>More details can be referred to in the below link.</w:t>
      </w:r>
    </w:p>
    <w:p w14:paraId="731DE779" w14:textId="77777777" w:rsidR="00572A17" w:rsidRDefault="00572A17" w:rsidP="00572A1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7" w:history="1">
        <w:r w:rsidRPr="005F425E">
          <w:rPr>
            <w:rStyle w:val="Hyperlink"/>
            <w:rFonts w:ascii="Arial" w:hAnsi="Arial" w:cs="Arial"/>
            <w:bCs/>
            <w:sz w:val="20"/>
            <w:szCs w:val="20"/>
          </w:rPr>
          <w:t>https://rbi.org.in/Scripts/NotificationUser.aspx?Id=12514&amp;Mode=0</w:t>
        </w:r>
      </w:hyperlink>
    </w:p>
    <w:p w14:paraId="5D45F555" w14:textId="77777777" w:rsidR="00572A17" w:rsidRDefault="00572A17" w:rsidP="00572A17">
      <w:pPr>
        <w:pStyle w:val="NormalWeb"/>
        <w:rPr>
          <w:rFonts w:ascii="Arial" w:hAnsi="Arial" w:cs="Arial"/>
          <w:bCs/>
          <w:color w:val="000000"/>
          <w:sz w:val="20"/>
          <w:szCs w:val="20"/>
        </w:rPr>
      </w:pPr>
    </w:p>
    <w:p w14:paraId="5FE198C4" w14:textId="77777777" w:rsidR="00572A17" w:rsidRDefault="00572A17" w:rsidP="00572A17">
      <w:pPr>
        <w:pStyle w:val="NormalWeb"/>
        <w:rPr>
          <w:rFonts w:ascii="Arial" w:hAnsi="Arial" w:cs="Arial"/>
          <w:bCs/>
          <w:color w:val="000000"/>
          <w:sz w:val="20"/>
          <w:szCs w:val="20"/>
        </w:rPr>
      </w:pPr>
    </w:p>
    <w:p w14:paraId="6CAE7DB4" w14:textId="77777777" w:rsidR="00572A17" w:rsidRDefault="00572A17" w:rsidP="00572A17">
      <w:pPr>
        <w:pStyle w:val="NormalWeb"/>
        <w:rPr>
          <w:rFonts w:ascii="Arial" w:hAnsi="Arial" w:cs="Arial"/>
          <w:bCs/>
          <w:color w:val="000000"/>
          <w:sz w:val="20"/>
          <w:szCs w:val="20"/>
        </w:rPr>
      </w:pPr>
    </w:p>
    <w:p w14:paraId="7D194ECF" w14:textId="77777777" w:rsidR="00572A17" w:rsidRDefault="00572A17" w:rsidP="00572A17">
      <w:pPr>
        <w:pStyle w:val="NormalWeb"/>
        <w:rPr>
          <w:rFonts w:ascii="Arial" w:hAnsi="Arial" w:cs="Arial"/>
          <w:bCs/>
          <w:color w:val="000000"/>
          <w:sz w:val="20"/>
          <w:szCs w:val="20"/>
        </w:rPr>
      </w:pPr>
    </w:p>
    <w:p w14:paraId="4EF1551B" w14:textId="77777777" w:rsidR="00572A17" w:rsidRDefault="00572A17" w:rsidP="00572A17">
      <w:pPr>
        <w:pStyle w:val="NormalWeb"/>
        <w:rPr>
          <w:rFonts w:ascii="Arial" w:hAnsi="Arial" w:cs="Arial"/>
          <w:bCs/>
          <w:color w:val="000000"/>
          <w:sz w:val="20"/>
          <w:szCs w:val="20"/>
        </w:rPr>
      </w:pPr>
    </w:p>
    <w:p w14:paraId="1B5ADB08" w14:textId="77777777" w:rsidR="00572A17" w:rsidRDefault="00572A17" w:rsidP="00572A17">
      <w:pPr>
        <w:pStyle w:val="NormalWeb"/>
        <w:rPr>
          <w:rFonts w:ascii="Arial" w:hAnsi="Arial" w:cs="Arial"/>
          <w:bCs/>
          <w:color w:val="000000"/>
          <w:sz w:val="20"/>
          <w:szCs w:val="20"/>
        </w:rPr>
      </w:pPr>
    </w:p>
    <w:bookmarkEnd w:id="30"/>
    <w:p w14:paraId="2401DDA8" w14:textId="77777777" w:rsidR="00572A17" w:rsidRDefault="00572A17" w:rsidP="009F65FC">
      <w:pPr>
        <w:rPr>
          <w:b/>
          <w:bCs/>
          <w:lang w:val="en-US"/>
        </w:rPr>
      </w:pPr>
    </w:p>
    <w:p w14:paraId="61289420" w14:textId="77777777" w:rsidR="00572A17" w:rsidRDefault="00572A17" w:rsidP="00572A17">
      <w:pPr>
        <w:pStyle w:val="NormalWeb"/>
        <w:rPr>
          <w:rFonts w:ascii="Arial" w:hAnsi="Arial" w:cs="Arial"/>
          <w:b/>
          <w:bCs/>
          <w:color w:val="000000"/>
          <w:sz w:val="20"/>
          <w:szCs w:val="20"/>
        </w:rPr>
      </w:pPr>
      <w:bookmarkStart w:id="31" w:name="OLE_LINK83"/>
      <w:bookmarkStart w:id="32" w:name="_Hlk141826745"/>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bookmarkEnd w:id="31"/>
    <w:p w14:paraId="6CC780D7" w14:textId="77777777" w:rsidR="00572A17" w:rsidRDefault="00572A17" w:rsidP="00572A17">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14:paraId="3CA6A38E" w14:textId="77777777" w:rsidR="00572A17" w:rsidRDefault="00572A17" w:rsidP="00572A17">
      <w:pPr>
        <w:pStyle w:val="NormalWeb"/>
        <w:jc w:val="right"/>
        <w:rPr>
          <w:rFonts w:ascii="Arial" w:hAnsi="Arial" w:cs="Arial"/>
          <w:color w:val="000000"/>
          <w:sz w:val="20"/>
          <w:szCs w:val="20"/>
        </w:rPr>
      </w:pPr>
      <w:r>
        <w:rPr>
          <w:rFonts w:ascii="Arial" w:hAnsi="Arial" w:cs="Arial"/>
          <w:color w:val="000000"/>
          <w:sz w:val="20"/>
          <w:szCs w:val="20"/>
        </w:rPr>
        <w:t>June 8, 2023</w:t>
      </w:r>
    </w:p>
    <w:p w14:paraId="5FDD4458"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14:paraId="4693C1EE"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Madam / Dear Sir,</w:t>
      </w:r>
    </w:p>
    <w:p w14:paraId="2D8398C2" w14:textId="77777777" w:rsidR="00572A17" w:rsidRDefault="00572A17" w:rsidP="00572A17">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14:paraId="2C882764"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68" w:tgtFrame="_blank" w:history="1">
        <w:r>
          <w:rPr>
            <w:rStyle w:val="Hyperlink"/>
            <w:rFonts w:ascii="Arial" w:hAnsi="Arial" w:cs="Arial"/>
            <w:sz w:val="20"/>
            <w:szCs w:val="20"/>
          </w:rPr>
          <w:t>circular DOR (PCB).</w:t>
        </w:r>
        <w:proofErr w:type="spellStart"/>
        <w:r>
          <w:rPr>
            <w:rStyle w:val="Hyperlink"/>
            <w:rFonts w:ascii="Arial" w:hAnsi="Arial" w:cs="Arial"/>
            <w:sz w:val="20"/>
            <w:szCs w:val="20"/>
          </w:rPr>
          <w:t>BPD.Cir</w:t>
        </w:r>
        <w:proofErr w:type="spellEnd"/>
        <w:r>
          <w:rPr>
            <w:rStyle w:val="Hyperlink"/>
            <w:rFonts w:ascii="Arial" w:hAnsi="Arial" w:cs="Arial"/>
            <w:sz w:val="20"/>
            <w:szCs w:val="20"/>
          </w:rPr>
          <w:t xml:space="preserve">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69"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in terms of which, a glide path for achieving overall PSL target and sub-target for advances to weaker sections was prescribed till March 31, 2024.</w:t>
      </w:r>
    </w:p>
    <w:p w14:paraId="7E5BE3CB"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70"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572A17" w14:paraId="49A0CAE5" w14:textId="77777777" w:rsidTr="00781F9A">
        <w:tc>
          <w:tcPr>
            <w:tcW w:w="1188" w:type="pct"/>
            <w:tcMar>
              <w:top w:w="0" w:type="dxa"/>
              <w:left w:w="45" w:type="dxa"/>
              <w:bottom w:w="0" w:type="dxa"/>
              <w:right w:w="45" w:type="dxa"/>
            </w:tcMar>
            <w:hideMark/>
          </w:tcPr>
          <w:p w14:paraId="263ED2FE" w14:textId="77777777" w:rsidR="00572A17" w:rsidRDefault="00572A17" w:rsidP="00781F9A">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14:paraId="533111A5" w14:textId="77777777" w:rsidR="00572A17" w:rsidRDefault="00572A17" w:rsidP="00781F9A">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14:paraId="1C7EC9B3" w14:textId="77777777" w:rsidR="00572A17" w:rsidRDefault="00572A17" w:rsidP="00781F9A">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14:paraId="470C9AF0" w14:textId="77777777" w:rsidR="00572A17" w:rsidRDefault="00572A17" w:rsidP="00781F9A">
            <w:pPr>
              <w:jc w:val="center"/>
              <w:rPr>
                <w:rFonts w:ascii="Arial" w:hAnsi="Arial" w:cs="Arial"/>
                <w:b/>
                <w:bCs/>
                <w:color w:val="000000"/>
                <w:sz w:val="20"/>
                <w:szCs w:val="20"/>
              </w:rPr>
            </w:pPr>
            <w:r>
              <w:rPr>
                <w:rFonts w:ascii="Arial" w:hAnsi="Arial" w:cs="Arial"/>
                <w:b/>
                <w:bCs/>
                <w:color w:val="000000"/>
                <w:sz w:val="20"/>
                <w:szCs w:val="20"/>
              </w:rPr>
              <w:t>March 31, 2026</w:t>
            </w:r>
          </w:p>
        </w:tc>
      </w:tr>
      <w:tr w:rsidR="00572A17" w14:paraId="1E1D17AA" w14:textId="77777777" w:rsidTr="00781F9A">
        <w:tc>
          <w:tcPr>
            <w:tcW w:w="1188" w:type="pct"/>
            <w:tcMar>
              <w:top w:w="0" w:type="dxa"/>
              <w:left w:w="45" w:type="dxa"/>
              <w:bottom w:w="0" w:type="dxa"/>
              <w:right w:w="45" w:type="dxa"/>
            </w:tcMar>
            <w:hideMark/>
          </w:tcPr>
          <w:p w14:paraId="389487A3" w14:textId="77777777" w:rsidR="00572A17" w:rsidRDefault="00572A17" w:rsidP="00781F9A">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14:paraId="352446E4"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60% of ANBC</w:t>
            </w:r>
            <w:hyperlink r:id="rId71"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72"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4BC06807"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2F63AE29"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572A17" w14:paraId="09EA6F5B" w14:textId="77777777" w:rsidTr="00781F9A">
        <w:tc>
          <w:tcPr>
            <w:tcW w:w="1188" w:type="pct"/>
            <w:tcMar>
              <w:top w:w="0" w:type="dxa"/>
              <w:left w:w="45" w:type="dxa"/>
              <w:bottom w:w="0" w:type="dxa"/>
              <w:right w:w="45" w:type="dxa"/>
            </w:tcMar>
            <w:hideMark/>
          </w:tcPr>
          <w:p w14:paraId="5D219425" w14:textId="77777777" w:rsidR="00572A17" w:rsidRDefault="00572A17" w:rsidP="00781F9A">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73"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14:paraId="6C3D42E7"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053C949A"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001D9504" w14:textId="77777777" w:rsidR="00572A17" w:rsidRDefault="00572A17" w:rsidP="00781F9A">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572A17" w14:paraId="0BD97D0B" w14:textId="77777777" w:rsidTr="00781F9A">
        <w:tc>
          <w:tcPr>
            <w:tcW w:w="5000" w:type="pct"/>
            <w:gridSpan w:val="4"/>
            <w:tcMar>
              <w:top w:w="0" w:type="dxa"/>
              <w:left w:w="45" w:type="dxa"/>
              <w:bottom w:w="0" w:type="dxa"/>
              <w:right w:w="45" w:type="dxa"/>
            </w:tcMar>
            <w:hideMark/>
          </w:tcPr>
          <w:p w14:paraId="01BEB2AE" w14:textId="77777777" w:rsidR="00572A17" w:rsidRDefault="00572A17" w:rsidP="00781F9A">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14:paraId="319ED04A"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lastRenderedPageBreak/>
        <w:t>3. In terms of para 28 of </w:t>
      </w:r>
      <w:hyperlink r:id="rId74"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75"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14:paraId="34A980C7" w14:textId="77777777" w:rsidR="00572A17" w:rsidRDefault="00572A17" w:rsidP="00572A17">
      <w:pPr>
        <w:pStyle w:val="NormalWeb"/>
        <w:jc w:val="both"/>
        <w:rPr>
          <w:rFonts w:ascii="Arial" w:hAnsi="Arial" w:cs="Arial"/>
          <w:color w:val="000000"/>
          <w:sz w:val="20"/>
          <w:szCs w:val="20"/>
        </w:rPr>
      </w:pPr>
      <w:r>
        <w:rPr>
          <w:rFonts w:ascii="Arial" w:hAnsi="Arial" w:cs="Arial"/>
          <w:color w:val="000000"/>
          <w:sz w:val="20"/>
          <w:szCs w:val="20"/>
        </w:rPr>
        <w:t>Yours faithfully,</w:t>
      </w:r>
    </w:p>
    <w:p w14:paraId="65BE32CC" w14:textId="77777777" w:rsidR="00572A17" w:rsidRDefault="00572A17" w:rsidP="00572A1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CAFBA83" w14:textId="77777777" w:rsidR="00572A17" w:rsidRDefault="00572A17" w:rsidP="00572A17">
      <w:pPr>
        <w:spacing w:before="240" w:after="0"/>
      </w:pPr>
      <w:r>
        <w:t>More details can be referred to in the below link.</w:t>
      </w:r>
    </w:p>
    <w:p w14:paraId="0C931DD7" w14:textId="252727C5" w:rsidR="00572A17" w:rsidRDefault="00572A17" w:rsidP="00572A17">
      <w:pPr>
        <w:pStyle w:val="NormalWeb"/>
        <w:rPr>
          <w:rStyle w:val="Hyperlink"/>
          <w:rFonts w:ascii="Arial" w:hAnsi="Arial" w:cs="Arial"/>
          <w:bCs/>
          <w:sz w:val="20"/>
          <w:szCs w:val="20"/>
        </w:rPr>
      </w:pPr>
      <w:r>
        <w:rPr>
          <w:rFonts w:ascii="Arial" w:hAnsi="Arial" w:cs="Arial"/>
          <w:bCs/>
          <w:color w:val="000000"/>
          <w:sz w:val="20"/>
          <w:szCs w:val="20"/>
        </w:rPr>
        <w:t xml:space="preserve">Reference Link:  </w:t>
      </w:r>
      <w:hyperlink r:id="rId76" w:history="1">
        <w:r w:rsidRPr="005F425E">
          <w:rPr>
            <w:rStyle w:val="Hyperlink"/>
            <w:rFonts w:ascii="Arial" w:hAnsi="Arial" w:cs="Arial"/>
            <w:bCs/>
            <w:sz w:val="20"/>
            <w:szCs w:val="20"/>
          </w:rPr>
          <w:t>https://rbi.org.in/Scripts/NotificationUser.aspx?Id=12515&amp;Mode=0</w:t>
        </w:r>
      </w:hyperlink>
    </w:p>
    <w:p w14:paraId="6A2D6AA2" w14:textId="68D05118" w:rsidR="00F203DF" w:rsidRDefault="00F203DF" w:rsidP="00572A17">
      <w:pPr>
        <w:pStyle w:val="NormalWeb"/>
        <w:rPr>
          <w:rStyle w:val="Hyperlink"/>
          <w:rFonts w:ascii="Arial" w:hAnsi="Arial" w:cs="Arial"/>
          <w:bCs/>
          <w:sz w:val="20"/>
          <w:szCs w:val="20"/>
        </w:rPr>
      </w:pPr>
    </w:p>
    <w:p w14:paraId="1AC3F0CB" w14:textId="69F964E0" w:rsidR="00F203DF" w:rsidRDefault="00F203DF" w:rsidP="00572A17">
      <w:pPr>
        <w:pStyle w:val="NormalWeb"/>
        <w:rPr>
          <w:rStyle w:val="Hyperlink"/>
          <w:rFonts w:ascii="Arial" w:hAnsi="Arial" w:cs="Arial"/>
          <w:bCs/>
          <w:sz w:val="20"/>
          <w:szCs w:val="20"/>
        </w:rPr>
      </w:pPr>
    </w:p>
    <w:p w14:paraId="1F9FCA02" w14:textId="50156007" w:rsidR="00F203DF" w:rsidRDefault="00F203DF" w:rsidP="00572A17">
      <w:pPr>
        <w:pStyle w:val="NormalWeb"/>
        <w:rPr>
          <w:rStyle w:val="Hyperlink"/>
          <w:rFonts w:ascii="Arial" w:hAnsi="Arial" w:cs="Arial"/>
          <w:bCs/>
          <w:sz w:val="20"/>
          <w:szCs w:val="20"/>
        </w:rPr>
      </w:pPr>
    </w:p>
    <w:p w14:paraId="5F11DA50" w14:textId="4AF10CDF" w:rsidR="00F203DF" w:rsidRDefault="00F203DF" w:rsidP="00572A17">
      <w:pPr>
        <w:pStyle w:val="NormalWeb"/>
        <w:rPr>
          <w:rStyle w:val="Hyperlink"/>
          <w:rFonts w:ascii="Arial" w:hAnsi="Arial" w:cs="Arial"/>
          <w:bCs/>
          <w:sz w:val="20"/>
          <w:szCs w:val="20"/>
        </w:rPr>
      </w:pPr>
    </w:p>
    <w:p w14:paraId="1C87B0BD" w14:textId="1C940174" w:rsidR="00F203DF" w:rsidRDefault="00F203DF" w:rsidP="00572A17">
      <w:pPr>
        <w:pStyle w:val="NormalWeb"/>
        <w:rPr>
          <w:rStyle w:val="Hyperlink"/>
          <w:rFonts w:ascii="Arial" w:hAnsi="Arial" w:cs="Arial"/>
          <w:bCs/>
          <w:sz w:val="20"/>
          <w:szCs w:val="20"/>
        </w:rPr>
      </w:pPr>
    </w:p>
    <w:p w14:paraId="75087ADB" w14:textId="615E1AD8" w:rsidR="00F203DF" w:rsidRDefault="00F203DF" w:rsidP="00572A17">
      <w:pPr>
        <w:pStyle w:val="NormalWeb"/>
        <w:rPr>
          <w:rStyle w:val="Hyperlink"/>
          <w:rFonts w:ascii="Arial" w:hAnsi="Arial" w:cs="Arial"/>
          <w:bCs/>
          <w:sz w:val="20"/>
          <w:szCs w:val="20"/>
        </w:rPr>
      </w:pPr>
    </w:p>
    <w:p w14:paraId="7238B0E6" w14:textId="03E75EFF" w:rsidR="00F203DF" w:rsidRDefault="00F203DF" w:rsidP="00572A17">
      <w:pPr>
        <w:pStyle w:val="NormalWeb"/>
        <w:rPr>
          <w:rStyle w:val="Hyperlink"/>
          <w:rFonts w:ascii="Arial" w:hAnsi="Arial" w:cs="Arial"/>
          <w:bCs/>
          <w:sz w:val="20"/>
          <w:szCs w:val="20"/>
        </w:rPr>
      </w:pPr>
    </w:p>
    <w:p w14:paraId="5E33FE6E" w14:textId="0BB498BB" w:rsidR="00F203DF" w:rsidRDefault="00F203DF" w:rsidP="00572A17">
      <w:pPr>
        <w:pStyle w:val="NormalWeb"/>
        <w:rPr>
          <w:rStyle w:val="Hyperlink"/>
          <w:rFonts w:ascii="Arial" w:hAnsi="Arial" w:cs="Arial"/>
          <w:bCs/>
          <w:sz w:val="20"/>
          <w:szCs w:val="20"/>
        </w:rPr>
      </w:pPr>
    </w:p>
    <w:p w14:paraId="2A53FE73" w14:textId="73554450" w:rsidR="00F203DF" w:rsidRDefault="00F203DF" w:rsidP="00572A17">
      <w:pPr>
        <w:pStyle w:val="NormalWeb"/>
        <w:rPr>
          <w:rStyle w:val="Hyperlink"/>
          <w:rFonts w:ascii="Arial" w:hAnsi="Arial" w:cs="Arial"/>
          <w:bCs/>
          <w:sz w:val="20"/>
          <w:szCs w:val="20"/>
        </w:rPr>
      </w:pPr>
    </w:p>
    <w:p w14:paraId="292A964B" w14:textId="61D47E01" w:rsidR="00F203DF" w:rsidRDefault="00F203DF" w:rsidP="00572A17">
      <w:pPr>
        <w:pStyle w:val="NormalWeb"/>
        <w:rPr>
          <w:rStyle w:val="Hyperlink"/>
          <w:rFonts w:ascii="Arial" w:hAnsi="Arial" w:cs="Arial"/>
          <w:bCs/>
          <w:sz w:val="20"/>
          <w:szCs w:val="20"/>
        </w:rPr>
      </w:pPr>
    </w:p>
    <w:p w14:paraId="2FF2E67F" w14:textId="148172D3" w:rsidR="00F203DF" w:rsidRDefault="00F203DF" w:rsidP="00572A17">
      <w:pPr>
        <w:pStyle w:val="NormalWeb"/>
        <w:rPr>
          <w:rStyle w:val="Hyperlink"/>
          <w:rFonts w:ascii="Arial" w:hAnsi="Arial" w:cs="Arial"/>
          <w:bCs/>
          <w:sz w:val="20"/>
          <w:szCs w:val="20"/>
        </w:rPr>
      </w:pPr>
    </w:p>
    <w:p w14:paraId="451ED694" w14:textId="4B1AC202" w:rsidR="00F203DF" w:rsidRDefault="00F203DF" w:rsidP="00572A17">
      <w:pPr>
        <w:pStyle w:val="NormalWeb"/>
        <w:rPr>
          <w:rStyle w:val="Hyperlink"/>
          <w:rFonts w:ascii="Arial" w:hAnsi="Arial" w:cs="Arial"/>
          <w:bCs/>
          <w:sz w:val="20"/>
          <w:szCs w:val="20"/>
        </w:rPr>
      </w:pPr>
    </w:p>
    <w:p w14:paraId="5C91A330" w14:textId="5A2E47D2" w:rsidR="00F203DF" w:rsidRDefault="00F203DF" w:rsidP="00572A17">
      <w:pPr>
        <w:pStyle w:val="NormalWeb"/>
        <w:rPr>
          <w:rStyle w:val="Hyperlink"/>
          <w:rFonts w:ascii="Arial" w:hAnsi="Arial" w:cs="Arial"/>
          <w:bCs/>
          <w:sz w:val="20"/>
          <w:szCs w:val="20"/>
        </w:rPr>
      </w:pPr>
    </w:p>
    <w:p w14:paraId="3C8625E5" w14:textId="01689D88" w:rsidR="00F203DF" w:rsidRDefault="00F203DF" w:rsidP="00572A17">
      <w:pPr>
        <w:pStyle w:val="NormalWeb"/>
        <w:rPr>
          <w:rStyle w:val="Hyperlink"/>
          <w:rFonts w:ascii="Arial" w:hAnsi="Arial" w:cs="Arial"/>
          <w:bCs/>
          <w:sz w:val="20"/>
          <w:szCs w:val="20"/>
        </w:rPr>
      </w:pPr>
    </w:p>
    <w:p w14:paraId="25702DFE" w14:textId="5BA13CF8" w:rsidR="00F203DF" w:rsidRDefault="00F203DF" w:rsidP="00572A17">
      <w:pPr>
        <w:pStyle w:val="NormalWeb"/>
        <w:rPr>
          <w:rStyle w:val="Hyperlink"/>
          <w:rFonts w:ascii="Arial" w:hAnsi="Arial" w:cs="Arial"/>
          <w:bCs/>
          <w:sz w:val="20"/>
          <w:szCs w:val="20"/>
        </w:rPr>
      </w:pPr>
    </w:p>
    <w:p w14:paraId="53ACD750" w14:textId="28CCF8B9" w:rsidR="00F203DF" w:rsidRDefault="00F203DF" w:rsidP="00572A17">
      <w:pPr>
        <w:pStyle w:val="NormalWeb"/>
        <w:rPr>
          <w:rStyle w:val="Hyperlink"/>
          <w:rFonts w:ascii="Arial" w:hAnsi="Arial" w:cs="Arial"/>
          <w:bCs/>
          <w:sz w:val="20"/>
          <w:szCs w:val="20"/>
        </w:rPr>
      </w:pPr>
    </w:p>
    <w:p w14:paraId="5A6E90D2" w14:textId="5EB6AA4B" w:rsidR="00F203DF" w:rsidRDefault="00F203DF" w:rsidP="00572A17">
      <w:pPr>
        <w:pStyle w:val="NormalWeb"/>
        <w:rPr>
          <w:rStyle w:val="Hyperlink"/>
          <w:rFonts w:ascii="Arial" w:hAnsi="Arial" w:cs="Arial"/>
          <w:bCs/>
          <w:sz w:val="20"/>
          <w:szCs w:val="20"/>
        </w:rPr>
      </w:pPr>
    </w:p>
    <w:p w14:paraId="20AFEF91" w14:textId="18864BDE" w:rsidR="00F203DF" w:rsidRDefault="00F203DF" w:rsidP="00572A17">
      <w:pPr>
        <w:pStyle w:val="NormalWeb"/>
        <w:rPr>
          <w:rStyle w:val="Hyperlink"/>
          <w:rFonts w:ascii="Arial" w:hAnsi="Arial" w:cs="Arial"/>
          <w:bCs/>
          <w:sz w:val="20"/>
          <w:szCs w:val="20"/>
        </w:rPr>
      </w:pPr>
    </w:p>
    <w:p w14:paraId="73195458" w14:textId="2DC5A5DC" w:rsidR="00F203DF" w:rsidRDefault="00F203DF" w:rsidP="00572A17">
      <w:pPr>
        <w:pStyle w:val="NormalWeb"/>
        <w:rPr>
          <w:rStyle w:val="Hyperlink"/>
          <w:rFonts w:ascii="Arial" w:hAnsi="Arial" w:cs="Arial"/>
          <w:bCs/>
          <w:sz w:val="20"/>
          <w:szCs w:val="20"/>
        </w:rPr>
      </w:pPr>
    </w:p>
    <w:p w14:paraId="1278C65C" w14:textId="3E5E7E4E" w:rsidR="00F203DF" w:rsidRDefault="00F203DF" w:rsidP="00572A17">
      <w:pPr>
        <w:pStyle w:val="NormalWeb"/>
        <w:rPr>
          <w:rStyle w:val="Hyperlink"/>
          <w:rFonts w:ascii="Arial" w:hAnsi="Arial" w:cs="Arial"/>
          <w:bCs/>
          <w:sz w:val="20"/>
          <w:szCs w:val="20"/>
        </w:rPr>
      </w:pPr>
    </w:p>
    <w:p w14:paraId="1CE6030B" w14:textId="77777777" w:rsidR="00F203DF" w:rsidRPr="00520D9C" w:rsidRDefault="00F203DF" w:rsidP="00F203DF">
      <w:pPr>
        <w:tabs>
          <w:tab w:val="left" w:pos="2820"/>
        </w:tabs>
        <w:rPr>
          <w:rFonts w:ascii="Arial" w:hAnsi="Arial" w:cs="Arial"/>
          <w:sz w:val="20"/>
          <w:szCs w:val="20"/>
        </w:rPr>
      </w:pPr>
      <w:r w:rsidRPr="00520D9C">
        <w:rPr>
          <w:rFonts w:ascii="Arial" w:hAnsi="Arial" w:cs="Arial"/>
          <w:sz w:val="20"/>
          <w:szCs w:val="20"/>
        </w:rPr>
        <w:lastRenderedPageBreak/>
        <w:t>Ref. No. CGTMSE /44/ 293 March 31, 2023</w:t>
      </w:r>
    </w:p>
    <w:p w14:paraId="3F0F84B4" w14:textId="77777777" w:rsidR="00F203DF" w:rsidRPr="00520D9C" w:rsidRDefault="00F203DF" w:rsidP="00F203DF">
      <w:pPr>
        <w:tabs>
          <w:tab w:val="left" w:pos="2820"/>
        </w:tabs>
        <w:rPr>
          <w:rFonts w:ascii="Arial" w:hAnsi="Arial" w:cs="Arial"/>
          <w:sz w:val="20"/>
          <w:szCs w:val="20"/>
        </w:rPr>
      </w:pPr>
      <w:r w:rsidRPr="00520D9C">
        <w:rPr>
          <w:rFonts w:ascii="Arial" w:hAnsi="Arial" w:cs="Arial"/>
          <w:sz w:val="20"/>
          <w:szCs w:val="20"/>
        </w:rPr>
        <w:t>All Public Sector Banks, Private Sector Banks, Member FIs, Foreign Banks</w:t>
      </w:r>
    </w:p>
    <w:p w14:paraId="5162C0B6" w14:textId="77777777" w:rsidR="00F203DF" w:rsidRPr="00520D9C" w:rsidRDefault="00F203DF" w:rsidP="00F203DF">
      <w:pPr>
        <w:tabs>
          <w:tab w:val="left" w:pos="2820"/>
        </w:tabs>
        <w:jc w:val="center"/>
        <w:rPr>
          <w:rFonts w:ascii="Arial" w:hAnsi="Arial" w:cs="Arial"/>
          <w:b/>
          <w:sz w:val="20"/>
          <w:szCs w:val="20"/>
        </w:rPr>
      </w:pPr>
      <w:r w:rsidRPr="00520D9C">
        <w:rPr>
          <w:rFonts w:ascii="Arial" w:hAnsi="Arial" w:cs="Arial"/>
          <w:b/>
          <w:sz w:val="20"/>
          <w:szCs w:val="20"/>
        </w:rPr>
        <w:t>Circular No.220 / 2022 – 23</w:t>
      </w:r>
    </w:p>
    <w:p w14:paraId="5487DF5B" w14:textId="77777777" w:rsidR="00F203DF" w:rsidRPr="00520D9C" w:rsidRDefault="00F203DF" w:rsidP="00F203DF">
      <w:pPr>
        <w:tabs>
          <w:tab w:val="left" w:pos="2820"/>
        </w:tabs>
        <w:rPr>
          <w:rFonts w:ascii="Arial" w:hAnsi="Arial" w:cs="Arial"/>
          <w:sz w:val="20"/>
          <w:szCs w:val="20"/>
        </w:rPr>
      </w:pPr>
      <w:r w:rsidRPr="00520D9C">
        <w:rPr>
          <w:rFonts w:ascii="Arial" w:hAnsi="Arial" w:cs="Arial"/>
          <w:sz w:val="20"/>
          <w:szCs w:val="20"/>
        </w:rPr>
        <w:t>Madam / Dear Sir,</w:t>
      </w:r>
    </w:p>
    <w:p w14:paraId="7B908CB5" w14:textId="77777777" w:rsidR="00F203DF" w:rsidRPr="00520D9C" w:rsidRDefault="00F203DF" w:rsidP="00F203DF">
      <w:pPr>
        <w:tabs>
          <w:tab w:val="left" w:pos="2820"/>
        </w:tabs>
        <w:jc w:val="center"/>
        <w:rPr>
          <w:rFonts w:ascii="Arial" w:hAnsi="Arial" w:cs="Arial"/>
          <w:b/>
          <w:sz w:val="20"/>
          <w:szCs w:val="20"/>
        </w:rPr>
      </w:pPr>
      <w:r w:rsidRPr="00520D9C">
        <w:rPr>
          <w:rFonts w:ascii="Arial" w:hAnsi="Arial" w:cs="Arial"/>
          <w:b/>
          <w:sz w:val="20"/>
          <w:szCs w:val="20"/>
        </w:rPr>
        <w:t>Increase in ceiling of coverage from `200 lakh to `500 lakh – CGS I</w:t>
      </w:r>
    </w:p>
    <w:p w14:paraId="7372F61C" w14:textId="77777777" w:rsidR="00F203DF" w:rsidRPr="00520D9C" w:rsidRDefault="00F203DF" w:rsidP="00F203DF">
      <w:pPr>
        <w:tabs>
          <w:tab w:val="left" w:pos="2820"/>
        </w:tabs>
        <w:jc w:val="both"/>
        <w:rPr>
          <w:rFonts w:ascii="Arial" w:hAnsi="Arial" w:cs="Arial"/>
          <w:sz w:val="20"/>
          <w:szCs w:val="20"/>
        </w:rPr>
      </w:pPr>
      <w:r w:rsidRPr="00520D9C">
        <w:rPr>
          <w:rFonts w:ascii="Arial" w:hAnsi="Arial" w:cs="Arial"/>
          <w:sz w:val="20"/>
          <w:szCs w:val="20"/>
        </w:rPr>
        <w:t>As you are aware, presently the ceiling for availing credit guarantee for CGTMSE under CGS-I is `200 lakh. In view of the request received from banks, the matter has been reviewed. Accordingly, we are glad to inform that it has been decided to increase the ceiling for coverage under the CGS -I from `200 lakh to `500 lakh per borrower for the credit facilities extended by eligible MLIs to the Micro and Small Enterprises (MSEs). The extent of coverage is given in the table below:</w:t>
      </w:r>
    </w:p>
    <w:p w14:paraId="1C5881D7" w14:textId="77777777" w:rsidR="00F203DF" w:rsidRPr="00520D9C" w:rsidRDefault="00F203DF" w:rsidP="00F203DF">
      <w:pPr>
        <w:tabs>
          <w:tab w:val="left" w:pos="2820"/>
        </w:tabs>
        <w:jc w:val="both"/>
        <w:rPr>
          <w:rFonts w:ascii="Arial" w:hAnsi="Arial" w:cs="Arial"/>
          <w:sz w:val="20"/>
          <w:szCs w:val="20"/>
        </w:rPr>
      </w:pPr>
      <w:r w:rsidRPr="00520D9C">
        <w:rPr>
          <w:rFonts w:ascii="Arial" w:hAnsi="Arial" w:cs="Arial"/>
          <w:noProof/>
          <w:sz w:val="20"/>
          <w:szCs w:val="20"/>
          <w:lang w:eastAsia="en-IN"/>
        </w:rPr>
        <w:drawing>
          <wp:inline distT="0" distB="0" distL="0" distR="0" wp14:anchorId="3E29F10A" wp14:editId="6A10EEF0">
            <wp:extent cx="5731510" cy="27559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731510" cy="2755900"/>
                    </a:xfrm>
                    <a:prstGeom prst="rect">
                      <a:avLst/>
                    </a:prstGeom>
                  </pic:spPr>
                </pic:pic>
              </a:graphicData>
            </a:graphic>
          </wp:inline>
        </w:drawing>
      </w:r>
    </w:p>
    <w:p w14:paraId="0A79DDB7" w14:textId="77777777" w:rsidR="00F203DF" w:rsidRPr="00520D9C" w:rsidRDefault="00F203DF" w:rsidP="00F203DF">
      <w:pPr>
        <w:tabs>
          <w:tab w:val="left" w:pos="2820"/>
        </w:tabs>
        <w:jc w:val="both"/>
        <w:rPr>
          <w:rFonts w:ascii="Arial" w:hAnsi="Arial" w:cs="Arial"/>
          <w:sz w:val="20"/>
          <w:szCs w:val="20"/>
        </w:rPr>
      </w:pPr>
      <w:r w:rsidRPr="00520D9C">
        <w:rPr>
          <w:rFonts w:ascii="Arial" w:hAnsi="Arial" w:cs="Arial"/>
          <w:sz w:val="20"/>
          <w:szCs w:val="20"/>
        </w:rPr>
        <w:t xml:space="preserve">The above modifications shall be applicable for all guarantees approved on or after April 01, 2023 including enhancement in Working Capital of existing covered accounts. All other Terms and conditions of the Scheme shall remain unchanged. The contents of this circular may please be brought to the notice of all your offices. </w:t>
      </w:r>
    </w:p>
    <w:p w14:paraId="003B6956" w14:textId="77777777" w:rsidR="00F203DF" w:rsidRPr="00520D9C" w:rsidRDefault="00F203DF" w:rsidP="00F203DF">
      <w:pPr>
        <w:tabs>
          <w:tab w:val="left" w:pos="2820"/>
        </w:tabs>
        <w:jc w:val="both"/>
        <w:rPr>
          <w:rFonts w:ascii="Arial" w:hAnsi="Arial" w:cs="Arial"/>
          <w:sz w:val="20"/>
          <w:szCs w:val="20"/>
        </w:rPr>
      </w:pP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t xml:space="preserve">      Yours faithfully,</w:t>
      </w:r>
      <w:r>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520D9C">
        <w:rPr>
          <w:rFonts w:ascii="Arial" w:hAnsi="Arial" w:cs="Arial"/>
          <w:sz w:val="20"/>
          <w:szCs w:val="20"/>
        </w:rPr>
        <w:t>Sd</w:t>
      </w:r>
      <w:proofErr w:type="spellEnd"/>
      <w:r w:rsidRPr="00520D9C">
        <w:rPr>
          <w:rFonts w:ascii="Arial" w:hAnsi="Arial" w:cs="Arial"/>
          <w:sz w:val="20"/>
          <w:szCs w:val="20"/>
        </w:rPr>
        <w:t xml:space="preserve">/- </w:t>
      </w:r>
    </w:p>
    <w:p w14:paraId="0244B009" w14:textId="77777777" w:rsidR="00F203DF" w:rsidRPr="00520D9C" w:rsidRDefault="00F203DF" w:rsidP="00F203DF">
      <w:pPr>
        <w:tabs>
          <w:tab w:val="left" w:pos="2820"/>
        </w:tabs>
        <w:jc w:val="both"/>
        <w:rPr>
          <w:rFonts w:ascii="Arial" w:hAnsi="Arial" w:cs="Arial"/>
          <w:sz w:val="20"/>
          <w:szCs w:val="20"/>
        </w:rPr>
      </w:pP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20D9C">
        <w:rPr>
          <w:rFonts w:ascii="Arial" w:hAnsi="Arial" w:cs="Arial"/>
          <w:sz w:val="20"/>
          <w:szCs w:val="20"/>
        </w:rPr>
        <w:t>(</w:t>
      </w:r>
      <w:proofErr w:type="spellStart"/>
      <w:r w:rsidRPr="00520D9C">
        <w:rPr>
          <w:rFonts w:ascii="Arial" w:hAnsi="Arial" w:cs="Arial"/>
          <w:sz w:val="20"/>
          <w:szCs w:val="20"/>
        </w:rPr>
        <w:t>Dhiraj</w:t>
      </w:r>
      <w:proofErr w:type="spellEnd"/>
      <w:r w:rsidRPr="00520D9C">
        <w:rPr>
          <w:rFonts w:ascii="Arial" w:hAnsi="Arial" w:cs="Arial"/>
          <w:sz w:val="20"/>
          <w:szCs w:val="20"/>
        </w:rPr>
        <w:t xml:space="preserve"> Kumar) </w:t>
      </w:r>
    </w:p>
    <w:p w14:paraId="2021E7B2" w14:textId="77777777" w:rsidR="00F203DF" w:rsidRDefault="00F203DF" w:rsidP="00F203DF">
      <w:pPr>
        <w:tabs>
          <w:tab w:val="left" w:pos="2820"/>
        </w:tabs>
        <w:jc w:val="both"/>
        <w:rPr>
          <w:rFonts w:ascii="Arial" w:hAnsi="Arial" w:cs="Arial"/>
          <w:sz w:val="20"/>
          <w:szCs w:val="20"/>
        </w:rPr>
      </w:pPr>
      <w:r w:rsidRPr="00520D9C">
        <w:rPr>
          <w:rFonts w:ascii="Arial" w:hAnsi="Arial" w:cs="Arial"/>
          <w:sz w:val="20"/>
          <w:szCs w:val="20"/>
        </w:rPr>
        <w:t xml:space="preserve">                                                                                                            </w:t>
      </w:r>
      <w:r>
        <w:rPr>
          <w:rFonts w:ascii="Arial" w:hAnsi="Arial" w:cs="Arial"/>
          <w:sz w:val="20"/>
          <w:szCs w:val="20"/>
        </w:rPr>
        <w:t xml:space="preserve">                  </w:t>
      </w:r>
      <w:r w:rsidRPr="00520D9C">
        <w:rPr>
          <w:rFonts w:ascii="Arial" w:hAnsi="Arial" w:cs="Arial"/>
          <w:sz w:val="20"/>
          <w:szCs w:val="20"/>
        </w:rPr>
        <w:t xml:space="preserve"> </w:t>
      </w:r>
      <w:proofErr w:type="spellStart"/>
      <w:r w:rsidRPr="00520D9C">
        <w:rPr>
          <w:rFonts w:ascii="Arial" w:hAnsi="Arial" w:cs="Arial"/>
          <w:sz w:val="20"/>
          <w:szCs w:val="20"/>
        </w:rPr>
        <w:t>Asst</w:t>
      </w:r>
      <w:proofErr w:type="spellEnd"/>
      <w:r w:rsidRPr="00520D9C">
        <w:rPr>
          <w:rFonts w:ascii="Arial" w:hAnsi="Arial" w:cs="Arial"/>
          <w:sz w:val="20"/>
          <w:szCs w:val="20"/>
        </w:rPr>
        <w:t xml:space="preserve"> General Manager</w:t>
      </w:r>
    </w:p>
    <w:p w14:paraId="4FC24FC6" w14:textId="77777777" w:rsidR="00F203DF" w:rsidRDefault="00F203DF" w:rsidP="00F203DF">
      <w:pPr>
        <w:tabs>
          <w:tab w:val="left" w:pos="2820"/>
        </w:tabs>
        <w:jc w:val="both"/>
        <w:rPr>
          <w:rFonts w:ascii="Arial" w:hAnsi="Arial" w:cs="Arial"/>
          <w:sz w:val="20"/>
          <w:szCs w:val="20"/>
        </w:rPr>
      </w:pPr>
    </w:p>
    <w:p w14:paraId="6C7B3AC0" w14:textId="77777777" w:rsidR="00F203DF" w:rsidRDefault="00F203DF" w:rsidP="00F203DF">
      <w:pPr>
        <w:spacing w:before="240" w:after="0"/>
      </w:pPr>
      <w:r>
        <w:t>More details can be referred to in the below link.</w:t>
      </w:r>
    </w:p>
    <w:p w14:paraId="4E89DBC6" w14:textId="77777777" w:rsidR="00F203DF" w:rsidRDefault="00F203DF" w:rsidP="00F203DF">
      <w:pPr>
        <w:pStyle w:val="NormalWeb"/>
      </w:pPr>
      <w:r>
        <w:rPr>
          <w:rFonts w:ascii="Arial" w:hAnsi="Arial" w:cs="Arial"/>
          <w:bCs/>
          <w:color w:val="000000"/>
          <w:sz w:val="20"/>
          <w:szCs w:val="20"/>
        </w:rPr>
        <w:t xml:space="preserve">Reference Link:  </w:t>
      </w:r>
      <w:hyperlink r:id="rId78" w:history="1">
        <w:r w:rsidRPr="00E4714C">
          <w:rPr>
            <w:rStyle w:val="Hyperlink"/>
          </w:rPr>
          <w:t>https://www.cgtmse.in/Default/ViewFile/?id=1680774247788_Circular%20No.%20220_Increase%20in%20ceiling%20of%20Coverage_REV.pdf&amp;path=Circular</w:t>
        </w:r>
      </w:hyperlink>
    </w:p>
    <w:p w14:paraId="19C116DF" w14:textId="77777777" w:rsidR="00F203DF" w:rsidRDefault="00F203DF" w:rsidP="00F203DF">
      <w:pPr>
        <w:pStyle w:val="NormalWeb"/>
        <w:rPr>
          <w:rFonts w:ascii="Arial" w:hAnsi="Arial" w:cs="Arial"/>
          <w:sz w:val="20"/>
          <w:szCs w:val="20"/>
        </w:rPr>
      </w:pPr>
    </w:p>
    <w:p w14:paraId="1F97179F" w14:textId="77777777" w:rsidR="00F203DF" w:rsidRDefault="00F203DF" w:rsidP="00F203DF">
      <w:pPr>
        <w:pStyle w:val="NormalWeb"/>
        <w:rPr>
          <w:rFonts w:ascii="Arial" w:hAnsi="Arial" w:cs="Arial"/>
          <w:sz w:val="20"/>
          <w:szCs w:val="20"/>
        </w:rPr>
      </w:pPr>
    </w:p>
    <w:p w14:paraId="0271E17E" w14:textId="77777777" w:rsidR="00F203DF" w:rsidRDefault="00F203DF" w:rsidP="00F203DF">
      <w:pPr>
        <w:pStyle w:val="NormalWeb"/>
        <w:rPr>
          <w:rFonts w:ascii="Arial" w:hAnsi="Arial" w:cs="Arial"/>
          <w:sz w:val="20"/>
          <w:szCs w:val="20"/>
        </w:rPr>
      </w:pPr>
    </w:p>
    <w:p w14:paraId="65E45120" w14:textId="77777777" w:rsidR="00F203DF" w:rsidRDefault="00F203DF" w:rsidP="00F203DF">
      <w:pPr>
        <w:pStyle w:val="NormalWeb"/>
        <w:rPr>
          <w:rFonts w:ascii="Arial" w:hAnsi="Arial" w:cs="Arial"/>
          <w:sz w:val="20"/>
          <w:szCs w:val="20"/>
        </w:rPr>
      </w:pPr>
    </w:p>
    <w:p w14:paraId="030914DE" w14:textId="77777777" w:rsidR="00F203DF" w:rsidRPr="000D197A" w:rsidRDefault="00F203DF" w:rsidP="00F203DF">
      <w:pPr>
        <w:pStyle w:val="NormalWeb"/>
        <w:rPr>
          <w:rFonts w:ascii="Arial" w:hAnsi="Arial" w:cs="Arial"/>
          <w:sz w:val="20"/>
          <w:szCs w:val="20"/>
        </w:rPr>
      </w:pPr>
      <w:r w:rsidRPr="000D197A">
        <w:rPr>
          <w:rFonts w:ascii="Arial" w:hAnsi="Arial" w:cs="Arial"/>
          <w:sz w:val="20"/>
          <w:szCs w:val="20"/>
        </w:rPr>
        <w:t>Ref. No. CGTMSE /44/ 113 August 25, 2023</w:t>
      </w:r>
    </w:p>
    <w:p w14:paraId="0E7243C5" w14:textId="77777777" w:rsidR="00F203DF" w:rsidRPr="000D197A" w:rsidRDefault="00F203DF" w:rsidP="00F203DF">
      <w:pPr>
        <w:pStyle w:val="NormalWeb"/>
        <w:rPr>
          <w:rFonts w:ascii="Arial" w:hAnsi="Arial" w:cs="Arial"/>
          <w:sz w:val="20"/>
          <w:szCs w:val="20"/>
        </w:rPr>
      </w:pPr>
      <w:r w:rsidRPr="000D197A">
        <w:rPr>
          <w:rFonts w:ascii="Arial" w:hAnsi="Arial" w:cs="Arial"/>
          <w:sz w:val="20"/>
          <w:szCs w:val="20"/>
        </w:rPr>
        <w:t>All Member Lending Institutions (MLIs) of CGTMSE</w:t>
      </w:r>
    </w:p>
    <w:p w14:paraId="509E9C1B" w14:textId="77777777" w:rsidR="00F203DF" w:rsidRPr="000D197A" w:rsidRDefault="00F203DF" w:rsidP="00F203DF">
      <w:pPr>
        <w:pStyle w:val="NormalWeb"/>
        <w:jc w:val="center"/>
        <w:rPr>
          <w:rFonts w:ascii="Arial" w:hAnsi="Arial" w:cs="Arial"/>
          <w:b/>
          <w:sz w:val="20"/>
          <w:szCs w:val="20"/>
        </w:rPr>
      </w:pPr>
      <w:r w:rsidRPr="000D197A">
        <w:rPr>
          <w:rFonts w:ascii="Arial" w:hAnsi="Arial" w:cs="Arial"/>
          <w:b/>
          <w:sz w:val="20"/>
          <w:szCs w:val="20"/>
        </w:rPr>
        <w:t>Circular No. 229 / 2023 – 24</w:t>
      </w:r>
    </w:p>
    <w:p w14:paraId="6FD7A9D9" w14:textId="77777777" w:rsidR="00F203DF" w:rsidRPr="000D197A" w:rsidRDefault="00F203DF" w:rsidP="00F203DF">
      <w:pPr>
        <w:pStyle w:val="NormalWeb"/>
        <w:rPr>
          <w:rFonts w:ascii="Arial" w:hAnsi="Arial" w:cs="Arial"/>
          <w:sz w:val="20"/>
          <w:szCs w:val="20"/>
        </w:rPr>
      </w:pPr>
      <w:r w:rsidRPr="000D197A">
        <w:rPr>
          <w:rFonts w:ascii="Arial" w:hAnsi="Arial" w:cs="Arial"/>
          <w:sz w:val="20"/>
          <w:szCs w:val="20"/>
        </w:rPr>
        <w:t>Madam / Dear Sir,</w:t>
      </w:r>
    </w:p>
    <w:p w14:paraId="3F9BD534" w14:textId="77777777" w:rsidR="00F203DF" w:rsidRPr="000D197A" w:rsidRDefault="00F203DF" w:rsidP="00F203DF">
      <w:pPr>
        <w:pStyle w:val="NormalWeb"/>
        <w:jc w:val="center"/>
        <w:rPr>
          <w:rFonts w:ascii="Arial" w:hAnsi="Arial" w:cs="Arial"/>
          <w:b/>
          <w:sz w:val="20"/>
          <w:szCs w:val="20"/>
        </w:rPr>
      </w:pPr>
      <w:proofErr w:type="spellStart"/>
      <w:r w:rsidRPr="000D197A">
        <w:rPr>
          <w:rFonts w:ascii="Arial" w:hAnsi="Arial" w:cs="Arial"/>
          <w:b/>
          <w:sz w:val="20"/>
          <w:szCs w:val="20"/>
        </w:rPr>
        <w:t>Udyam</w:t>
      </w:r>
      <w:proofErr w:type="spellEnd"/>
      <w:r w:rsidRPr="000D197A">
        <w:rPr>
          <w:rFonts w:ascii="Arial" w:hAnsi="Arial" w:cs="Arial"/>
          <w:b/>
          <w:sz w:val="20"/>
          <w:szCs w:val="20"/>
        </w:rPr>
        <w:t xml:space="preserve"> Registration Number Mandatory for Guarantee Coverage</w:t>
      </w:r>
    </w:p>
    <w:p w14:paraId="584F10F8" w14:textId="77777777" w:rsidR="00F203DF" w:rsidRPr="000D197A" w:rsidRDefault="00F203DF" w:rsidP="00F203DF">
      <w:pPr>
        <w:pStyle w:val="NormalWeb"/>
        <w:jc w:val="both"/>
        <w:rPr>
          <w:rFonts w:ascii="Arial" w:hAnsi="Arial" w:cs="Arial"/>
          <w:sz w:val="20"/>
          <w:szCs w:val="20"/>
        </w:rPr>
      </w:pPr>
      <w:r w:rsidRPr="000D197A">
        <w:rPr>
          <w:rFonts w:ascii="Arial" w:hAnsi="Arial" w:cs="Arial"/>
          <w:sz w:val="20"/>
          <w:szCs w:val="20"/>
        </w:rPr>
        <w:t>Please refer to our Circular No.206/2022-23 dated October 17, 2022</w:t>
      </w:r>
      <w:r>
        <w:rPr>
          <w:rFonts w:ascii="Arial" w:hAnsi="Arial" w:cs="Arial"/>
          <w:sz w:val="20"/>
          <w:szCs w:val="20"/>
        </w:rPr>
        <w:t xml:space="preserve"> </w:t>
      </w:r>
      <w:r w:rsidRPr="000D197A">
        <w:rPr>
          <w:rFonts w:ascii="Arial" w:hAnsi="Arial" w:cs="Arial"/>
          <w:sz w:val="20"/>
          <w:szCs w:val="20"/>
        </w:rPr>
        <w:t xml:space="preserve">informing that </w:t>
      </w:r>
      <w:proofErr w:type="spellStart"/>
      <w:r w:rsidRPr="000D197A">
        <w:rPr>
          <w:rFonts w:ascii="Arial" w:hAnsi="Arial" w:cs="Arial"/>
          <w:sz w:val="20"/>
          <w:szCs w:val="20"/>
        </w:rPr>
        <w:t>Udyam</w:t>
      </w:r>
      <w:proofErr w:type="spellEnd"/>
      <w:r w:rsidRPr="000D197A">
        <w:rPr>
          <w:rFonts w:ascii="Arial" w:hAnsi="Arial" w:cs="Arial"/>
          <w:sz w:val="20"/>
          <w:szCs w:val="20"/>
        </w:rPr>
        <w:t xml:space="preserve"> Registration Number (URN) is mandatory for getting</w:t>
      </w:r>
      <w:r>
        <w:rPr>
          <w:rFonts w:ascii="Arial" w:hAnsi="Arial" w:cs="Arial"/>
          <w:sz w:val="20"/>
          <w:szCs w:val="20"/>
        </w:rPr>
        <w:t xml:space="preserve"> </w:t>
      </w:r>
      <w:r w:rsidRPr="000D197A">
        <w:rPr>
          <w:rFonts w:ascii="Arial" w:hAnsi="Arial" w:cs="Arial"/>
          <w:sz w:val="20"/>
          <w:szCs w:val="20"/>
        </w:rPr>
        <w:t>guarantee coverage under Credit Guarantee Scheme from January 16, 2023</w:t>
      </w:r>
      <w:r>
        <w:rPr>
          <w:rFonts w:ascii="Arial" w:hAnsi="Arial" w:cs="Arial"/>
          <w:sz w:val="20"/>
          <w:szCs w:val="20"/>
        </w:rPr>
        <w:t xml:space="preserve"> </w:t>
      </w:r>
      <w:r w:rsidRPr="000D197A">
        <w:rPr>
          <w:rFonts w:ascii="Arial" w:hAnsi="Arial" w:cs="Arial"/>
          <w:sz w:val="20"/>
          <w:szCs w:val="20"/>
        </w:rPr>
        <w:t xml:space="preserve">onwards. As you are aware, </w:t>
      </w:r>
      <w:proofErr w:type="spellStart"/>
      <w:r w:rsidRPr="000D197A">
        <w:rPr>
          <w:rFonts w:ascii="Arial" w:hAnsi="Arial" w:cs="Arial"/>
          <w:sz w:val="20"/>
          <w:szCs w:val="20"/>
        </w:rPr>
        <w:t>Udyam</w:t>
      </w:r>
      <w:proofErr w:type="spellEnd"/>
      <w:r w:rsidRPr="000D197A">
        <w:rPr>
          <w:rFonts w:ascii="Arial" w:hAnsi="Arial" w:cs="Arial"/>
          <w:sz w:val="20"/>
          <w:szCs w:val="20"/>
        </w:rPr>
        <w:t xml:space="preserve"> Registration Portal is made simple and is a</w:t>
      </w:r>
      <w:r>
        <w:rPr>
          <w:rFonts w:ascii="Arial" w:hAnsi="Arial" w:cs="Arial"/>
          <w:sz w:val="20"/>
          <w:szCs w:val="20"/>
        </w:rPr>
        <w:t xml:space="preserve"> </w:t>
      </w:r>
      <w:r w:rsidRPr="000D197A">
        <w:rPr>
          <w:rFonts w:ascii="Arial" w:hAnsi="Arial" w:cs="Arial"/>
          <w:sz w:val="20"/>
          <w:szCs w:val="20"/>
        </w:rPr>
        <w:t>transparent system which provides number of benefits to the enterprises</w:t>
      </w:r>
      <w:r>
        <w:rPr>
          <w:rFonts w:ascii="Arial" w:hAnsi="Arial" w:cs="Arial"/>
          <w:sz w:val="20"/>
          <w:szCs w:val="20"/>
        </w:rPr>
        <w:t xml:space="preserve"> </w:t>
      </w:r>
      <w:r w:rsidRPr="000D197A">
        <w:rPr>
          <w:rFonts w:ascii="Arial" w:hAnsi="Arial" w:cs="Arial"/>
          <w:sz w:val="20"/>
          <w:szCs w:val="20"/>
        </w:rPr>
        <w:t>registered as MSEs. In this regard, we reiterate that obtaining URN of each</w:t>
      </w:r>
      <w:r>
        <w:rPr>
          <w:rFonts w:ascii="Arial" w:hAnsi="Arial" w:cs="Arial"/>
          <w:sz w:val="20"/>
          <w:szCs w:val="20"/>
        </w:rPr>
        <w:t xml:space="preserve"> </w:t>
      </w:r>
      <w:r w:rsidRPr="000D197A">
        <w:rPr>
          <w:rFonts w:ascii="Arial" w:hAnsi="Arial" w:cs="Arial"/>
          <w:sz w:val="20"/>
          <w:szCs w:val="20"/>
        </w:rPr>
        <w:t>beneficiary has been made mandatory while submitting application for coverage</w:t>
      </w:r>
      <w:r>
        <w:rPr>
          <w:rFonts w:ascii="Arial" w:hAnsi="Arial" w:cs="Arial"/>
          <w:sz w:val="20"/>
          <w:szCs w:val="20"/>
        </w:rPr>
        <w:t xml:space="preserve"> </w:t>
      </w:r>
      <w:r w:rsidRPr="000D197A">
        <w:rPr>
          <w:rFonts w:ascii="Arial" w:hAnsi="Arial" w:cs="Arial"/>
          <w:sz w:val="20"/>
          <w:szCs w:val="20"/>
        </w:rPr>
        <w:t>under the Scheme to extend the guarantee coverage.</w:t>
      </w:r>
    </w:p>
    <w:p w14:paraId="6C4AD534" w14:textId="77777777" w:rsidR="00F203DF" w:rsidRPr="000D197A" w:rsidRDefault="00F203DF" w:rsidP="00F203DF">
      <w:pPr>
        <w:pStyle w:val="NormalWeb"/>
        <w:jc w:val="both"/>
        <w:rPr>
          <w:rFonts w:ascii="Arial" w:hAnsi="Arial" w:cs="Arial"/>
          <w:sz w:val="20"/>
          <w:szCs w:val="20"/>
        </w:rPr>
      </w:pPr>
      <w:r w:rsidRPr="000D197A">
        <w:rPr>
          <w:rFonts w:ascii="Arial" w:hAnsi="Arial" w:cs="Arial"/>
          <w:sz w:val="20"/>
          <w:szCs w:val="20"/>
        </w:rPr>
        <w:t>Further, all MLIs are requested to obtain URN for the existing beneficiaries</w:t>
      </w:r>
      <w:r>
        <w:rPr>
          <w:rFonts w:ascii="Arial" w:hAnsi="Arial" w:cs="Arial"/>
          <w:sz w:val="20"/>
          <w:szCs w:val="20"/>
        </w:rPr>
        <w:t xml:space="preserve"> </w:t>
      </w:r>
      <w:r w:rsidRPr="000D197A">
        <w:rPr>
          <w:rFonts w:ascii="Arial" w:hAnsi="Arial" w:cs="Arial"/>
          <w:sz w:val="20"/>
          <w:szCs w:val="20"/>
        </w:rPr>
        <w:t>covered under Credit Guarantee Scheme of CGTMSE and update it in our portal</w:t>
      </w:r>
      <w:r>
        <w:rPr>
          <w:rFonts w:ascii="Arial" w:hAnsi="Arial" w:cs="Arial"/>
          <w:sz w:val="20"/>
          <w:szCs w:val="20"/>
        </w:rPr>
        <w:t xml:space="preserve"> </w:t>
      </w:r>
      <w:r w:rsidRPr="000D197A">
        <w:rPr>
          <w:rFonts w:ascii="Arial" w:hAnsi="Arial" w:cs="Arial"/>
          <w:sz w:val="20"/>
          <w:szCs w:val="20"/>
        </w:rPr>
        <w:t>using path: Member Login &gt;&gt; Guarantee maintenance &gt;&gt; Modify borrower</w:t>
      </w:r>
      <w:r>
        <w:rPr>
          <w:rFonts w:ascii="Arial" w:hAnsi="Arial" w:cs="Arial"/>
          <w:sz w:val="20"/>
          <w:szCs w:val="20"/>
        </w:rPr>
        <w:t xml:space="preserve"> </w:t>
      </w:r>
      <w:r w:rsidRPr="000D197A">
        <w:rPr>
          <w:rFonts w:ascii="Arial" w:hAnsi="Arial" w:cs="Arial"/>
          <w:sz w:val="20"/>
          <w:szCs w:val="20"/>
        </w:rPr>
        <w:t>details &gt;&gt; provide CGPAN and update URN.</w:t>
      </w:r>
    </w:p>
    <w:p w14:paraId="0DE2274D" w14:textId="77777777" w:rsidR="00F203DF" w:rsidRPr="000D197A" w:rsidRDefault="00F203DF" w:rsidP="00F203DF">
      <w:pPr>
        <w:pStyle w:val="NormalWeb"/>
        <w:jc w:val="both"/>
        <w:rPr>
          <w:rFonts w:ascii="Arial" w:hAnsi="Arial" w:cs="Arial"/>
          <w:sz w:val="20"/>
          <w:szCs w:val="20"/>
        </w:rPr>
      </w:pPr>
      <w:r w:rsidRPr="000D197A">
        <w:rPr>
          <w:rFonts w:ascii="Arial" w:hAnsi="Arial" w:cs="Arial"/>
          <w:sz w:val="20"/>
          <w:szCs w:val="20"/>
        </w:rPr>
        <w:t>The contents of the Circular may please be brought to the notice of all your</w:t>
      </w:r>
      <w:r>
        <w:rPr>
          <w:rFonts w:ascii="Arial" w:hAnsi="Arial" w:cs="Arial"/>
          <w:sz w:val="20"/>
          <w:szCs w:val="20"/>
        </w:rPr>
        <w:t xml:space="preserve"> </w:t>
      </w:r>
      <w:r w:rsidRPr="000D197A">
        <w:rPr>
          <w:rFonts w:ascii="Arial" w:hAnsi="Arial" w:cs="Arial"/>
          <w:sz w:val="20"/>
          <w:szCs w:val="20"/>
        </w:rPr>
        <w:t>office.</w:t>
      </w:r>
    </w:p>
    <w:p w14:paraId="380A6EBE" w14:textId="77777777" w:rsidR="00F203DF" w:rsidRDefault="00F203DF" w:rsidP="00F203DF">
      <w:pPr>
        <w:pStyle w:val="NormalWeb"/>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3474A97" w14:textId="77777777" w:rsidR="00F203DF" w:rsidRPr="000D197A" w:rsidRDefault="00F203DF" w:rsidP="00F203DF">
      <w:pPr>
        <w:pStyle w:val="NormalWeb"/>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D197A">
        <w:rPr>
          <w:rFonts w:ascii="Arial" w:hAnsi="Arial" w:cs="Arial"/>
          <w:sz w:val="20"/>
          <w:szCs w:val="20"/>
        </w:rPr>
        <w:t>Yours faithfully,</w:t>
      </w:r>
    </w:p>
    <w:p w14:paraId="610534FB" w14:textId="77777777" w:rsidR="00F203DF" w:rsidRPr="000D197A" w:rsidRDefault="00F203DF" w:rsidP="00F203DF">
      <w:pPr>
        <w:pStyle w:val="NormalWeb"/>
        <w:rPr>
          <w:rFonts w:ascii="Arial" w:hAnsi="Arial" w:cs="Arial"/>
          <w:sz w:val="20"/>
          <w:szCs w:val="20"/>
        </w:rPr>
      </w:pPr>
      <w:r>
        <w:rPr>
          <w:rFonts w:ascii="Arial" w:hAnsi="Arial" w:cs="Arial"/>
          <w:sz w:val="20"/>
          <w:szCs w:val="20"/>
        </w:rPr>
        <w:t xml:space="preserve">                                                                                                                                                           </w:t>
      </w:r>
      <w:proofErr w:type="spellStart"/>
      <w:r w:rsidRPr="000D197A">
        <w:rPr>
          <w:rFonts w:ascii="Arial" w:hAnsi="Arial" w:cs="Arial"/>
          <w:sz w:val="20"/>
          <w:szCs w:val="20"/>
        </w:rPr>
        <w:t>Sd</w:t>
      </w:r>
      <w:proofErr w:type="spellEnd"/>
      <w:r w:rsidRPr="000D197A">
        <w:rPr>
          <w:rFonts w:ascii="Arial" w:hAnsi="Arial" w:cs="Arial"/>
          <w:sz w:val="20"/>
          <w:szCs w:val="20"/>
        </w:rPr>
        <w:t>/-</w:t>
      </w:r>
    </w:p>
    <w:p w14:paraId="1FCE6EE2" w14:textId="77777777" w:rsidR="00F203DF" w:rsidRPr="000D197A" w:rsidRDefault="00F203DF" w:rsidP="00F203DF">
      <w:pPr>
        <w:pStyle w:val="NormalWeb"/>
        <w:rPr>
          <w:rFonts w:ascii="Arial" w:hAnsi="Arial" w:cs="Arial"/>
          <w:sz w:val="20"/>
          <w:szCs w:val="20"/>
        </w:rPr>
      </w:pPr>
      <w:r>
        <w:rPr>
          <w:rFonts w:ascii="Arial" w:hAnsi="Arial" w:cs="Arial"/>
          <w:sz w:val="20"/>
          <w:szCs w:val="20"/>
        </w:rPr>
        <w:t xml:space="preserve">                                                                                                                                           </w:t>
      </w:r>
      <w:r w:rsidRPr="000D197A">
        <w:rPr>
          <w:rFonts w:ascii="Arial" w:hAnsi="Arial" w:cs="Arial"/>
          <w:sz w:val="20"/>
          <w:szCs w:val="20"/>
        </w:rPr>
        <w:t>(</w:t>
      </w:r>
      <w:proofErr w:type="spellStart"/>
      <w:r w:rsidRPr="000D197A">
        <w:rPr>
          <w:rFonts w:ascii="Arial" w:hAnsi="Arial" w:cs="Arial"/>
          <w:sz w:val="20"/>
          <w:szCs w:val="20"/>
        </w:rPr>
        <w:t>Dhiraj</w:t>
      </w:r>
      <w:proofErr w:type="spellEnd"/>
      <w:r w:rsidRPr="000D197A">
        <w:rPr>
          <w:rFonts w:ascii="Arial" w:hAnsi="Arial" w:cs="Arial"/>
          <w:sz w:val="20"/>
          <w:szCs w:val="20"/>
        </w:rPr>
        <w:t xml:space="preserve"> Kumar)</w:t>
      </w:r>
    </w:p>
    <w:p w14:paraId="4D809B95" w14:textId="77777777" w:rsidR="00F203DF" w:rsidRDefault="00F203DF" w:rsidP="00F203DF">
      <w:pPr>
        <w:pStyle w:val="NormalWeb"/>
        <w:rPr>
          <w:rFonts w:ascii="Arial" w:hAnsi="Arial" w:cs="Arial"/>
          <w:sz w:val="20"/>
          <w:szCs w:val="20"/>
        </w:rPr>
      </w:pPr>
      <w:r>
        <w:rPr>
          <w:rFonts w:ascii="Arial" w:hAnsi="Arial" w:cs="Arial"/>
          <w:sz w:val="20"/>
          <w:szCs w:val="20"/>
        </w:rPr>
        <w:t xml:space="preserve">                                                                                                                          </w:t>
      </w:r>
      <w:r w:rsidRPr="000D197A">
        <w:rPr>
          <w:rFonts w:ascii="Arial" w:hAnsi="Arial" w:cs="Arial"/>
          <w:sz w:val="20"/>
          <w:szCs w:val="20"/>
        </w:rPr>
        <w:t>Deputy General Manager</w:t>
      </w:r>
    </w:p>
    <w:p w14:paraId="59DD87E8" w14:textId="77777777" w:rsidR="00F203DF" w:rsidRDefault="00F203DF" w:rsidP="00F203DF">
      <w:pPr>
        <w:pStyle w:val="NormalWeb"/>
        <w:rPr>
          <w:rFonts w:ascii="Arial" w:hAnsi="Arial" w:cs="Arial"/>
          <w:sz w:val="20"/>
          <w:szCs w:val="20"/>
        </w:rPr>
      </w:pPr>
    </w:p>
    <w:p w14:paraId="22B3B4E3" w14:textId="77777777" w:rsidR="00F203DF" w:rsidRDefault="00F203DF" w:rsidP="00F203DF">
      <w:pPr>
        <w:spacing w:before="240" w:after="0"/>
      </w:pPr>
      <w:r>
        <w:t>More details can be referred to in the below link.</w:t>
      </w:r>
    </w:p>
    <w:p w14:paraId="632F27A1" w14:textId="77777777" w:rsidR="00F203DF" w:rsidRDefault="00F203DF" w:rsidP="00F203D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9" w:history="1">
        <w:r w:rsidRPr="00E4714C">
          <w:rPr>
            <w:rStyle w:val="Hyperlink"/>
            <w:rFonts w:ascii="Arial" w:hAnsi="Arial" w:cs="Arial"/>
            <w:bCs/>
            <w:sz w:val="20"/>
            <w:szCs w:val="20"/>
          </w:rPr>
          <w:t>https://www.cgtmse.in/Default/ViewFile/?id=1693235486130_Circular%20no.%20229%20-%20UAM%20Mandatory.pdf&amp;path=Circular</w:t>
        </w:r>
      </w:hyperlink>
    </w:p>
    <w:p w14:paraId="23102A0D" w14:textId="77777777" w:rsidR="00F203DF" w:rsidRPr="000D197A" w:rsidRDefault="00F203DF" w:rsidP="00F203DF">
      <w:pPr>
        <w:pStyle w:val="NormalWeb"/>
        <w:rPr>
          <w:rFonts w:ascii="Arial" w:hAnsi="Arial" w:cs="Arial"/>
          <w:sz w:val="20"/>
          <w:szCs w:val="20"/>
        </w:rPr>
      </w:pPr>
    </w:p>
    <w:p w14:paraId="4A2049BB" w14:textId="53B96B24" w:rsidR="00F203DF" w:rsidRDefault="00F203DF" w:rsidP="00572A17">
      <w:pPr>
        <w:pStyle w:val="NormalWeb"/>
        <w:rPr>
          <w:rStyle w:val="Hyperlink"/>
          <w:rFonts w:ascii="Arial" w:hAnsi="Arial" w:cs="Arial"/>
          <w:bCs/>
          <w:sz w:val="20"/>
          <w:szCs w:val="20"/>
        </w:rPr>
      </w:pPr>
    </w:p>
    <w:p w14:paraId="0B50269D" w14:textId="77777777" w:rsidR="00F203DF" w:rsidRDefault="00F203DF" w:rsidP="00572A17">
      <w:pPr>
        <w:pStyle w:val="NormalWeb"/>
        <w:rPr>
          <w:rFonts w:ascii="Arial" w:hAnsi="Arial" w:cs="Arial"/>
          <w:bCs/>
          <w:color w:val="000000"/>
          <w:sz w:val="20"/>
          <w:szCs w:val="20"/>
        </w:rPr>
      </w:pPr>
    </w:p>
    <w:bookmarkEnd w:id="32"/>
    <w:p w14:paraId="79CAA124" w14:textId="649BBC60" w:rsidR="00572A17" w:rsidRDefault="00572A17" w:rsidP="009F65FC">
      <w:pPr>
        <w:rPr>
          <w:b/>
          <w:bCs/>
          <w:lang w:val="en-US"/>
        </w:rPr>
      </w:pPr>
    </w:p>
    <w:p w14:paraId="4596ACE8" w14:textId="407407B0" w:rsidR="00275AC2" w:rsidRDefault="00275AC2" w:rsidP="009F65FC">
      <w:pPr>
        <w:rPr>
          <w:b/>
          <w:bCs/>
          <w:lang w:val="en-US"/>
        </w:rPr>
      </w:pPr>
    </w:p>
    <w:p w14:paraId="48BD311C" w14:textId="77777777" w:rsidR="00275AC2" w:rsidRPr="001B278D" w:rsidRDefault="00275AC2" w:rsidP="00275AC2">
      <w:pPr>
        <w:pStyle w:val="Heading1"/>
        <w:spacing w:before="0" w:beforeAutospacing="0" w:after="0" w:afterAutospacing="0"/>
        <w:textAlignment w:val="baseline"/>
        <w:rPr>
          <w:rFonts w:ascii="Arial" w:hAnsi="Arial" w:cs="Arial"/>
          <w:bCs w:val="0"/>
          <w:color w:val="000000"/>
          <w:sz w:val="20"/>
          <w:szCs w:val="20"/>
        </w:rPr>
      </w:pPr>
      <w:r w:rsidRPr="001B278D">
        <w:rPr>
          <w:rFonts w:ascii="Arial" w:hAnsi="Arial" w:cs="Arial"/>
          <w:bCs w:val="0"/>
          <w:color w:val="000000"/>
          <w:sz w:val="20"/>
          <w:szCs w:val="20"/>
        </w:rPr>
        <w:lastRenderedPageBreak/>
        <w:t>Technology Upgradation and Quality Certification</w:t>
      </w:r>
    </w:p>
    <w:p w14:paraId="1D11E454" w14:textId="77777777" w:rsidR="00275AC2" w:rsidRPr="001B278D" w:rsidRDefault="00275AC2" w:rsidP="00275AC2">
      <w:pPr>
        <w:pStyle w:val="Heading1"/>
        <w:spacing w:before="0" w:beforeAutospacing="0" w:after="0" w:afterAutospacing="0"/>
        <w:textAlignment w:val="baseline"/>
        <w:rPr>
          <w:rFonts w:ascii="Arial" w:hAnsi="Arial" w:cs="Arial"/>
          <w:bCs w:val="0"/>
          <w:color w:val="000000"/>
          <w:sz w:val="20"/>
          <w:szCs w:val="20"/>
        </w:rPr>
      </w:pPr>
      <w:r w:rsidRPr="001B278D">
        <w:rPr>
          <w:rFonts w:ascii="Arial" w:hAnsi="Arial" w:cs="Arial"/>
          <w:bCs w:val="0"/>
          <w:color w:val="000000"/>
          <w:sz w:val="20"/>
          <w:szCs w:val="20"/>
        </w:rPr>
        <w:t>1.3. MSME Champions Scheme</w:t>
      </w:r>
    </w:p>
    <w:p w14:paraId="5271263C" w14:textId="77777777" w:rsidR="00275AC2" w:rsidRPr="001B278D" w:rsidRDefault="00275AC2" w:rsidP="00275AC2">
      <w:pPr>
        <w:pStyle w:val="Heading2"/>
        <w:spacing w:before="0" w:beforeAutospacing="0" w:after="0" w:afterAutospacing="0"/>
        <w:textAlignment w:val="baseline"/>
        <w:rPr>
          <w:rFonts w:ascii="Arial" w:hAnsi="Arial" w:cs="Arial"/>
          <w:bCs w:val="0"/>
          <w:color w:val="020202"/>
          <w:sz w:val="20"/>
          <w:szCs w:val="20"/>
        </w:rPr>
      </w:pPr>
      <w:r w:rsidRPr="001B278D">
        <w:rPr>
          <w:rFonts w:ascii="Arial" w:hAnsi="Arial" w:cs="Arial"/>
          <w:bCs w:val="0"/>
          <w:color w:val="020202"/>
          <w:sz w:val="20"/>
          <w:szCs w:val="20"/>
        </w:rPr>
        <w:t>1.3.1. MSME Champions Scheme (Erstwhile CLCS-TUS)</w:t>
      </w:r>
    </w:p>
    <w:p w14:paraId="59D49CB8" w14:textId="77777777" w:rsidR="00275AC2" w:rsidRPr="001B278D" w:rsidRDefault="00275AC2" w:rsidP="00275AC2">
      <w:pPr>
        <w:pStyle w:val="Heading2"/>
        <w:spacing w:before="0" w:beforeAutospacing="0" w:after="0" w:afterAutospacing="0"/>
        <w:textAlignment w:val="baseline"/>
        <w:rPr>
          <w:rFonts w:ascii="Arial" w:hAnsi="Arial" w:cs="Arial"/>
          <w:b w:val="0"/>
          <w:bCs w:val="0"/>
          <w:color w:val="020202"/>
          <w:sz w:val="20"/>
          <w:szCs w:val="20"/>
        </w:rPr>
      </w:pP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64"/>
        <w:gridCol w:w="7746"/>
      </w:tblGrid>
      <w:tr w:rsidR="00275AC2" w:rsidRPr="001B278D" w14:paraId="599B87A7"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C8D1F47"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CF5B7D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 Champions Scheme (Erstwhile CLCS-TUS)</w:t>
            </w:r>
          </w:p>
        </w:tc>
      </w:tr>
      <w:tr w:rsidR="00275AC2" w:rsidRPr="001B278D" w14:paraId="733552C8"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EB000D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11DE70B"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Ministry of MSME has been implementing Credit Linked Capital Subsidy and Technology Upgradation Scheme (CLCS-TUS) for promoting competitiveness amongst Micro, Small and Medium Enterprises (MSMEs) by the way of wastage reduction through Lean Manufacturing, support for Design improvement, building awareness on Intellectual Property Rights, Zero Defect Zero Effect (ZED) Scheme, digitally empowerment of MSME through Digital MSME and to promote &amp; support untapped creativity of individual and to promote adoption of latest technologies in manufacturing as well as knowledge based innovation MSMEs through Incubation across India.</w:t>
            </w:r>
            <w:r w:rsidRPr="001B278D">
              <w:rPr>
                <w:rFonts w:ascii="Arial" w:hAnsi="Arial" w:cs="Arial"/>
                <w:sz w:val="20"/>
                <w:szCs w:val="20"/>
              </w:rPr>
              <w:br/>
            </w:r>
            <w:r w:rsidRPr="001B278D">
              <w:rPr>
                <w:rFonts w:ascii="Arial" w:hAnsi="Arial" w:cs="Arial"/>
                <w:sz w:val="20"/>
                <w:szCs w:val="20"/>
              </w:rPr>
              <w:br/>
              <w:t xml:space="preserve">MSME Champions scheme has been formulated through Standing Finance Committee (SFC) by merging all 6 components of erstwhile Technology Upgradation Scheme (TUS) for a period of 5years </w:t>
            </w:r>
            <w:proofErr w:type="spellStart"/>
            <w:r w:rsidRPr="001B278D">
              <w:rPr>
                <w:rFonts w:ascii="Arial" w:hAnsi="Arial" w:cs="Arial"/>
                <w:sz w:val="20"/>
                <w:szCs w:val="20"/>
              </w:rPr>
              <w:t>i.e</w:t>
            </w:r>
            <w:proofErr w:type="spellEnd"/>
            <w:r w:rsidRPr="001B278D">
              <w:rPr>
                <w:rFonts w:ascii="Arial" w:hAnsi="Arial" w:cs="Arial"/>
                <w:sz w:val="20"/>
                <w:szCs w:val="20"/>
              </w:rPr>
              <w:t xml:space="preserve"> 2021-22 to 2025-26. It is a Holistic Approach to unify, synergize and converge various schemes and Interventions with a single purpose. The end objective is to pick up clusters and enterprises and modernize their processes, reduce wastages, sharpen business competitiveness and facilitate their National and Global reach and excellence. There are 3 components under the new MSME Champions scheme, the details of which are as below:</w:t>
            </w:r>
          </w:p>
        </w:tc>
      </w:tr>
      <w:tr w:rsidR="00275AC2" w:rsidRPr="001B278D" w14:paraId="471E7CA5"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FB5AEE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Who can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804B19B"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Any MSE unit</w:t>
            </w:r>
          </w:p>
        </w:tc>
      </w:tr>
      <w:tr w:rsidR="00275AC2" w:rsidRPr="001B278D" w14:paraId="0A63CBC3"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7A0B103"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AB3AF95"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MSME-Sustainable (ZED)</w:t>
            </w:r>
          </w:p>
        </w:tc>
      </w:tr>
      <w:tr w:rsidR="00275AC2" w:rsidRPr="001B278D" w14:paraId="0036DDA5"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18CA925"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C41B7D8"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MSME-Competitive (Lean)</w:t>
            </w:r>
          </w:p>
        </w:tc>
      </w:tr>
      <w:tr w:rsidR="00275AC2" w:rsidRPr="001B278D" w14:paraId="58DE8517"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3E1C64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7815D21"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MSME-Innovative(for Incubation, IPR, Design and Digital MSME)</w:t>
            </w:r>
          </w:p>
        </w:tc>
      </w:tr>
      <w:tr w:rsidR="00275AC2" w:rsidRPr="001B278D" w14:paraId="5CEDF93C"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BA4B5D8" w14:textId="77777777" w:rsidR="00275AC2" w:rsidRPr="001B278D" w:rsidRDefault="00275AC2" w:rsidP="00BD77F5">
            <w:pPr>
              <w:spacing w:line="374" w:lineRule="atLeast"/>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8E10E4A"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The Digital MSME will be interlinked with all the other components of the MSME Champions Scheme.</w:t>
            </w:r>
          </w:p>
        </w:tc>
      </w:tr>
      <w:tr w:rsidR="00275AC2" w:rsidRPr="001B278D" w14:paraId="1F32F4D0" w14:textId="77777777" w:rsidTr="00BD77F5">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07F5029" w14:textId="77777777" w:rsidR="00275AC2" w:rsidRPr="001B278D" w:rsidRDefault="003B7175" w:rsidP="00BD77F5">
            <w:pPr>
              <w:spacing w:line="374" w:lineRule="atLeast"/>
              <w:rPr>
                <w:rFonts w:ascii="Arial" w:hAnsi="Arial" w:cs="Arial"/>
                <w:sz w:val="20"/>
                <w:szCs w:val="20"/>
              </w:rPr>
            </w:pPr>
            <w:hyperlink r:id="rId80" w:tgtFrame="_parent" w:history="1">
              <w:r w:rsidR="00275AC2" w:rsidRPr="001B278D">
                <w:rPr>
                  <w:rStyle w:val="Hyperlink"/>
                  <w:rFonts w:ascii="Arial" w:hAnsi="Arial" w:cs="Arial"/>
                  <w:color w:val="1253CA"/>
                  <w:sz w:val="20"/>
                  <w:szCs w:val="20"/>
                  <w:u w:val="none"/>
                </w:rPr>
                <w:t>Download Scheme Guidelines</w:t>
              </w:r>
            </w:hyperlink>
          </w:p>
        </w:tc>
      </w:tr>
    </w:tbl>
    <w:p w14:paraId="00E680B8" w14:textId="77777777" w:rsidR="00275AC2" w:rsidRPr="001B278D" w:rsidRDefault="00275AC2" w:rsidP="00275AC2">
      <w:pPr>
        <w:pStyle w:val="Heading1"/>
        <w:spacing w:before="0" w:beforeAutospacing="0" w:after="0" w:afterAutospacing="0"/>
        <w:textAlignment w:val="baseline"/>
        <w:rPr>
          <w:rFonts w:ascii="Arial" w:hAnsi="Arial" w:cs="Arial"/>
          <w:b w:val="0"/>
          <w:bCs w:val="0"/>
          <w:color w:val="000000"/>
          <w:sz w:val="20"/>
          <w:szCs w:val="20"/>
        </w:rPr>
      </w:pPr>
      <w:r w:rsidRPr="001B278D">
        <w:rPr>
          <w:rFonts w:ascii="Arial" w:hAnsi="Arial" w:cs="Arial"/>
          <w:b w:val="0"/>
          <w:bCs w:val="0"/>
          <w:color w:val="000000"/>
          <w:sz w:val="20"/>
          <w:szCs w:val="20"/>
        </w:rPr>
        <w:t>1.3.2 MSME SUSTAINABLE (ZED) CERTIFICATION</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752"/>
        <w:gridCol w:w="5258"/>
      </w:tblGrid>
      <w:tr w:rsidR="00275AC2" w:rsidRPr="001B278D" w14:paraId="040DF004"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5E4CC51"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57EFF1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 SUSTAINABLE (ZED) CERTIFICATION</w:t>
            </w:r>
          </w:p>
        </w:tc>
      </w:tr>
      <w:tr w:rsidR="00275AC2" w:rsidRPr="001B278D" w14:paraId="22E1FB82"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5BD779C"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0A27150"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The ZED Certification envisages promotion of Zero Defect Zero Effect (ZED) practices amongst MSMEs so as to:</w:t>
            </w:r>
            <w:r w:rsidRPr="001B278D">
              <w:rPr>
                <w:rFonts w:ascii="Arial" w:hAnsi="Arial" w:cs="Arial"/>
                <w:sz w:val="20"/>
                <w:szCs w:val="20"/>
              </w:rPr>
              <w:br/>
            </w:r>
            <w:r w:rsidRPr="001B278D">
              <w:rPr>
                <w:rFonts w:ascii="Arial" w:hAnsi="Arial" w:cs="Arial"/>
                <w:sz w:val="20"/>
                <w:szCs w:val="20"/>
              </w:rPr>
              <w:br/>
              <w:t>• Encourage and enable MSMEs for manufacturing of quality products using latest technology, tools &amp; to constantly upgrade their processes for achievement of high quality and high productivity with the least effect on the environment</w:t>
            </w:r>
            <w:r w:rsidRPr="001B278D">
              <w:rPr>
                <w:rFonts w:ascii="Arial" w:hAnsi="Arial" w:cs="Arial"/>
                <w:sz w:val="20"/>
                <w:szCs w:val="20"/>
              </w:rPr>
              <w:br/>
            </w:r>
            <w:r w:rsidRPr="001B278D">
              <w:rPr>
                <w:rFonts w:ascii="Arial" w:hAnsi="Arial" w:cs="Arial"/>
                <w:sz w:val="20"/>
                <w:szCs w:val="20"/>
              </w:rPr>
              <w:br/>
              <w:t>• Develop an Ecosystem for ZED Manufacturing in MSMEs, for enhancing competitiveness and enabling exports</w:t>
            </w:r>
            <w:r w:rsidRPr="001B278D">
              <w:rPr>
                <w:rFonts w:ascii="Arial" w:hAnsi="Arial" w:cs="Arial"/>
                <w:sz w:val="20"/>
                <w:szCs w:val="20"/>
              </w:rPr>
              <w:br/>
            </w:r>
            <w:r w:rsidRPr="001B278D">
              <w:rPr>
                <w:rFonts w:ascii="Arial" w:hAnsi="Arial" w:cs="Arial"/>
                <w:sz w:val="20"/>
                <w:szCs w:val="20"/>
              </w:rPr>
              <w:br/>
              <w:t>• Promote adoption of ZED practices and recognising the efforts of successful MSMEs</w:t>
            </w:r>
            <w:r w:rsidRPr="001B278D">
              <w:rPr>
                <w:rFonts w:ascii="Arial" w:hAnsi="Arial" w:cs="Arial"/>
                <w:sz w:val="20"/>
                <w:szCs w:val="20"/>
              </w:rPr>
              <w:br/>
            </w:r>
            <w:r w:rsidRPr="001B278D">
              <w:rPr>
                <w:rFonts w:ascii="Arial" w:hAnsi="Arial" w:cs="Arial"/>
                <w:sz w:val="20"/>
                <w:szCs w:val="20"/>
              </w:rPr>
              <w:br/>
              <w:t>• Encourage MSMEs to achieve higher ZED Certification levels through graded incentives</w:t>
            </w:r>
            <w:r w:rsidRPr="001B278D">
              <w:rPr>
                <w:rFonts w:ascii="Arial" w:hAnsi="Arial" w:cs="Arial"/>
                <w:sz w:val="20"/>
                <w:szCs w:val="20"/>
              </w:rPr>
              <w:br/>
            </w:r>
            <w:r w:rsidRPr="001B278D">
              <w:rPr>
                <w:rFonts w:ascii="Arial" w:hAnsi="Arial" w:cs="Arial"/>
                <w:sz w:val="20"/>
                <w:szCs w:val="20"/>
              </w:rPr>
              <w:br/>
              <w:t>• Increase public awareness on demanding Zero Defect and Zero Effect products through the MSME Sustainable (ZED) Certification</w:t>
            </w:r>
            <w:r w:rsidRPr="001B278D">
              <w:rPr>
                <w:rFonts w:ascii="Arial" w:hAnsi="Arial" w:cs="Arial"/>
                <w:sz w:val="20"/>
                <w:szCs w:val="20"/>
              </w:rPr>
              <w:br/>
            </w:r>
            <w:r w:rsidRPr="001B278D">
              <w:rPr>
                <w:rFonts w:ascii="Arial" w:hAnsi="Arial" w:cs="Arial"/>
                <w:sz w:val="20"/>
                <w:szCs w:val="20"/>
              </w:rPr>
              <w:br/>
              <w:t>• Identify areas to improve upon, thereby assisting the Government in policy decisions and investment prioritization</w:t>
            </w:r>
          </w:p>
        </w:tc>
      </w:tr>
      <w:tr w:rsidR="00275AC2" w:rsidRPr="001B278D" w14:paraId="157BAAC4"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27A5E00"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lastRenderedPageBreak/>
              <w:t>Nature of assistance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B75138C"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Cost of Certification</w:t>
            </w:r>
            <w:r w:rsidRPr="001B278D">
              <w:rPr>
                <w:rFonts w:ascii="Arial" w:hAnsi="Arial" w:cs="Arial"/>
                <w:sz w:val="20"/>
                <w:szCs w:val="20"/>
              </w:rPr>
              <w:br/>
            </w:r>
            <w:r w:rsidRPr="001B278D">
              <w:rPr>
                <w:rFonts w:ascii="Arial" w:hAnsi="Arial" w:cs="Arial"/>
                <w:sz w:val="20"/>
                <w:szCs w:val="20"/>
              </w:rPr>
              <w:br/>
              <w:t>a) a) Certification Level 1: BRONZE: Rs. 10,000/-</w:t>
            </w:r>
            <w:r w:rsidRPr="001B278D">
              <w:rPr>
                <w:rFonts w:ascii="Arial" w:hAnsi="Arial" w:cs="Arial"/>
                <w:sz w:val="20"/>
                <w:szCs w:val="20"/>
              </w:rPr>
              <w:br/>
            </w:r>
            <w:r w:rsidRPr="001B278D">
              <w:rPr>
                <w:rFonts w:ascii="Arial" w:hAnsi="Arial" w:cs="Arial"/>
                <w:sz w:val="20"/>
                <w:szCs w:val="20"/>
              </w:rPr>
              <w:br/>
              <w:t>b) b) Certification Level 2: SILVER: Rs. 40,000/-</w:t>
            </w:r>
            <w:r w:rsidRPr="001B278D">
              <w:rPr>
                <w:rFonts w:ascii="Arial" w:hAnsi="Arial" w:cs="Arial"/>
                <w:sz w:val="20"/>
                <w:szCs w:val="20"/>
              </w:rPr>
              <w:br/>
            </w:r>
            <w:r w:rsidRPr="001B278D">
              <w:rPr>
                <w:rFonts w:ascii="Arial" w:hAnsi="Arial" w:cs="Arial"/>
                <w:sz w:val="20"/>
                <w:szCs w:val="20"/>
              </w:rPr>
              <w:br/>
              <w:t>c) c) Certification Level 3: GOLD: Rs. 90,000/-</w:t>
            </w:r>
          </w:p>
        </w:tc>
      </w:tr>
      <w:tr w:rsidR="00275AC2" w:rsidRPr="001B278D" w14:paraId="1B65F046"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452F0ED"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Subsidy on cost of ZED certification: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CF19821"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Joining Reward of Rs. 10,000/- (Bronze will become free if availed)</w:t>
            </w:r>
            <w:r w:rsidRPr="001B278D">
              <w:rPr>
                <w:rFonts w:ascii="Arial" w:hAnsi="Arial" w:cs="Arial"/>
                <w:sz w:val="20"/>
                <w:szCs w:val="20"/>
              </w:rPr>
              <w:br/>
            </w:r>
            <w:r w:rsidRPr="001B278D">
              <w:rPr>
                <w:rFonts w:ascii="Arial" w:hAnsi="Arial" w:cs="Arial"/>
                <w:sz w:val="20"/>
                <w:szCs w:val="20"/>
              </w:rPr>
              <w:br/>
              <w:t>• 80-60-50% for Bronze, Silver &amp; Gold ZED certified MSMEs</w:t>
            </w:r>
          </w:p>
        </w:tc>
      </w:tr>
      <w:tr w:rsidR="00275AC2" w:rsidRPr="001B278D" w14:paraId="4D1729D1"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0BF6F71"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Additional subsidy: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B231CD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10% for Women/SC/ST owned MSMEs OR MSMEs in NER/Himalayan/LWE/Island territories/aspirational districts.</w:t>
            </w:r>
            <w:r w:rsidRPr="001B278D">
              <w:rPr>
                <w:rFonts w:ascii="Arial" w:hAnsi="Arial" w:cs="Arial"/>
                <w:sz w:val="20"/>
                <w:szCs w:val="20"/>
              </w:rPr>
              <w:br/>
            </w:r>
            <w:r w:rsidRPr="001B278D">
              <w:rPr>
                <w:rFonts w:ascii="Arial" w:hAnsi="Arial" w:cs="Arial"/>
                <w:sz w:val="20"/>
                <w:szCs w:val="20"/>
              </w:rPr>
              <w:br/>
              <w:t>• 5% for MSMEs which are also a part of the SFURTI OR Micro &amp; Small Enterprises - Cluster Development Programme (MSE-CDP) of the Ministry.</w:t>
            </w:r>
          </w:p>
        </w:tc>
      </w:tr>
      <w:tr w:rsidR="00275AC2" w:rsidRPr="001B278D" w14:paraId="2CE1BFA3"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CAC2779"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Financial Assistance in Testing/Quality/Product Certification: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372F9B0"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Up to 75% of the total cost of Testing/Certification, with the maximum ceiling of subsidy being Rs. 50,000/-</w:t>
            </w:r>
          </w:p>
        </w:tc>
      </w:tr>
      <w:tr w:rsidR="00275AC2" w:rsidRPr="001B278D" w14:paraId="4F389B42"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B819CDD"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Handholding/Consultancy Support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66BC384"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Up-to Rs.2 lakh for handholding/Consultancy in order to achieve the next Certification Level.</w:t>
            </w:r>
          </w:p>
        </w:tc>
      </w:tr>
      <w:tr w:rsidR="00275AC2" w:rsidRPr="001B278D" w14:paraId="01174CD7"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9A919EE"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Support in Technology Upgradation for Zero Effect Solutions: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75488F6"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Up-to Rs. 3 lakhs for moving towards zero effect solutions/pollution control measures/cleaner technology</w:t>
            </w:r>
          </w:p>
        </w:tc>
      </w:tr>
      <w:tr w:rsidR="00275AC2" w:rsidRPr="001B278D" w14:paraId="793C16A8"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5EB972A"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 xml:space="preserve">MSME KAWACH (Knowledge Acquisition through WASH for an </w:t>
            </w:r>
            <w:r w:rsidRPr="001B278D">
              <w:rPr>
                <w:rFonts w:ascii="Arial" w:hAnsi="Arial" w:cs="Arial"/>
                <w:b/>
                <w:bCs/>
                <w:sz w:val="20"/>
                <w:szCs w:val="20"/>
                <w:bdr w:val="none" w:sz="0" w:space="0" w:color="auto" w:frame="1"/>
              </w:rPr>
              <w:lastRenderedPageBreak/>
              <w:t>Accelerated COVID-19 Handling) Certification: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A1315E6"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lastRenderedPageBreak/>
              <w:t xml:space="preserve">After taking ZED Pledge, MSMEs can </w:t>
            </w:r>
            <w:proofErr w:type="spellStart"/>
            <w:r w:rsidRPr="001B278D">
              <w:rPr>
                <w:rFonts w:ascii="Arial" w:hAnsi="Arial" w:cs="Arial"/>
                <w:sz w:val="20"/>
                <w:szCs w:val="20"/>
              </w:rPr>
              <w:t>self certify</w:t>
            </w:r>
            <w:proofErr w:type="spellEnd"/>
            <w:r w:rsidRPr="001B278D">
              <w:rPr>
                <w:rFonts w:ascii="Arial" w:hAnsi="Arial" w:cs="Arial"/>
                <w:sz w:val="20"/>
                <w:szCs w:val="20"/>
              </w:rPr>
              <w:t xml:space="preserve"> their preparedness on </w:t>
            </w:r>
            <w:proofErr w:type="spellStart"/>
            <w:r w:rsidRPr="001B278D">
              <w:rPr>
                <w:rFonts w:ascii="Arial" w:hAnsi="Arial" w:cs="Arial"/>
                <w:sz w:val="20"/>
                <w:szCs w:val="20"/>
              </w:rPr>
              <w:t>Covid</w:t>
            </w:r>
            <w:proofErr w:type="spellEnd"/>
            <w:r w:rsidRPr="001B278D">
              <w:rPr>
                <w:rFonts w:ascii="Arial" w:hAnsi="Arial" w:cs="Arial"/>
                <w:sz w:val="20"/>
                <w:szCs w:val="20"/>
              </w:rPr>
              <w:t xml:space="preserve"> 19 risk.</w:t>
            </w:r>
          </w:p>
        </w:tc>
      </w:tr>
      <w:tr w:rsidR="00275AC2" w:rsidRPr="001B278D" w14:paraId="4B444174"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13E1FC6"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Graded incentives: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755A269"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MSMEs can avail graded incentives as prescribed for the three ZED Certification Levels. Wherever possible, the incentives provided by States will be linked through API integration with the ZED portal to ensure interoperability.</w:t>
            </w:r>
          </w:p>
        </w:tc>
      </w:tr>
      <w:tr w:rsidR="00275AC2" w:rsidRPr="001B278D" w14:paraId="6295BD9A"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48FD888"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Eligibility/ Applicability: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D72A7A1"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xml:space="preserve">All MSMEs registered with the UDYAM registration portal (of the </w:t>
            </w:r>
            <w:proofErr w:type="spellStart"/>
            <w:r w:rsidRPr="001B278D">
              <w:rPr>
                <w:rFonts w:ascii="Arial" w:hAnsi="Arial" w:cs="Arial"/>
                <w:sz w:val="20"/>
                <w:szCs w:val="20"/>
              </w:rPr>
              <w:t>MoMSME</w:t>
            </w:r>
            <w:proofErr w:type="spellEnd"/>
            <w:r w:rsidRPr="001B278D">
              <w:rPr>
                <w:rFonts w:ascii="Arial" w:hAnsi="Arial" w:cs="Arial"/>
                <w:sz w:val="20"/>
                <w:szCs w:val="20"/>
              </w:rPr>
              <w:t>) will be eligible to participate in MSME Sustainable (ZED) Certification and avail related benefits/incentives.</w:t>
            </w:r>
          </w:p>
        </w:tc>
      </w:tr>
      <w:tr w:rsidR="00275AC2" w:rsidRPr="001B278D" w14:paraId="7B5B01D3"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597AF5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How to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72F4446"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Eligible MSMEs shall apply through online portal</w:t>
            </w:r>
            <w:r w:rsidRPr="001B278D">
              <w:rPr>
                <w:rFonts w:ascii="Arial" w:hAnsi="Arial" w:cs="Arial"/>
                <w:sz w:val="20"/>
                <w:szCs w:val="20"/>
              </w:rPr>
              <w:br/>
              <w:t>Email: </w:t>
            </w:r>
            <w:hyperlink r:id="rId81" w:history="1">
              <w:r w:rsidRPr="001B278D">
                <w:rPr>
                  <w:rStyle w:val="Hyperlink"/>
                  <w:rFonts w:ascii="Arial" w:hAnsi="Arial" w:cs="Arial"/>
                  <w:color w:val="1253CA"/>
                  <w:sz w:val="20"/>
                  <w:szCs w:val="20"/>
                  <w:u w:val="none"/>
                </w:rPr>
                <w:t>https://zed.msme.gov.in/</w:t>
              </w:r>
            </w:hyperlink>
            <w:r w:rsidRPr="001B278D">
              <w:rPr>
                <w:rFonts w:ascii="Arial" w:hAnsi="Arial" w:cs="Arial"/>
                <w:sz w:val="20"/>
                <w:szCs w:val="20"/>
              </w:rPr>
              <w:br/>
              <w:t>Phone no: 011-23708371</w:t>
            </w:r>
            <w:r w:rsidRPr="001B278D">
              <w:rPr>
                <w:rFonts w:ascii="Arial" w:hAnsi="Arial" w:cs="Arial"/>
                <w:sz w:val="20"/>
                <w:szCs w:val="20"/>
              </w:rPr>
              <w:br/>
              <w:t>The guidelines of ZED scheme is available on </w:t>
            </w:r>
            <w:hyperlink r:id="rId82" w:history="1">
              <w:r w:rsidRPr="001B278D">
                <w:rPr>
                  <w:rStyle w:val="Hyperlink"/>
                  <w:rFonts w:ascii="Arial" w:hAnsi="Arial" w:cs="Arial"/>
                  <w:color w:val="1253CA"/>
                  <w:sz w:val="20"/>
                  <w:szCs w:val="20"/>
                  <w:u w:val="none"/>
                </w:rPr>
                <w:t>https://zed.msme.gov.in/</w:t>
              </w:r>
            </w:hyperlink>
          </w:p>
        </w:tc>
      </w:tr>
      <w:tr w:rsidR="00275AC2" w:rsidRPr="001B278D" w14:paraId="4611E279"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D61F808"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Contact: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27538D3"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xml:space="preserve">Office of Development Commissioner (MSME), Ministry of MSME, </w:t>
            </w:r>
            <w:proofErr w:type="spellStart"/>
            <w:r w:rsidRPr="001B278D">
              <w:rPr>
                <w:rFonts w:ascii="Arial" w:hAnsi="Arial" w:cs="Arial"/>
                <w:sz w:val="20"/>
                <w:szCs w:val="20"/>
              </w:rPr>
              <w:t>Nirman</w:t>
            </w:r>
            <w:proofErr w:type="spellEnd"/>
            <w:r w:rsidRPr="001B278D">
              <w:rPr>
                <w:rFonts w:ascii="Arial" w:hAnsi="Arial" w:cs="Arial"/>
                <w:sz w:val="20"/>
                <w:szCs w:val="20"/>
              </w:rPr>
              <w:t xml:space="preserve"> </w:t>
            </w:r>
            <w:proofErr w:type="spellStart"/>
            <w:r w:rsidRPr="001B278D">
              <w:rPr>
                <w:rFonts w:ascii="Arial" w:hAnsi="Arial" w:cs="Arial"/>
                <w:sz w:val="20"/>
                <w:szCs w:val="20"/>
              </w:rPr>
              <w:t>Bhawan</w:t>
            </w:r>
            <w:proofErr w:type="spellEnd"/>
            <w:r w:rsidRPr="001B278D">
              <w:rPr>
                <w:rFonts w:ascii="Arial" w:hAnsi="Arial" w:cs="Arial"/>
                <w:sz w:val="20"/>
                <w:szCs w:val="20"/>
              </w:rPr>
              <w:t>, New Delhi. </w:t>
            </w:r>
            <w:hyperlink r:id="rId83" w:history="1">
              <w:r w:rsidRPr="001B278D">
                <w:rPr>
                  <w:rStyle w:val="Hyperlink"/>
                  <w:rFonts w:ascii="Arial" w:hAnsi="Arial" w:cs="Arial"/>
                  <w:color w:val="1253CA"/>
                  <w:sz w:val="20"/>
                  <w:szCs w:val="20"/>
                  <w:u w:val="none"/>
                </w:rPr>
                <w:t>https://zed.msme.gov.in/</w:t>
              </w:r>
            </w:hyperlink>
          </w:p>
        </w:tc>
      </w:tr>
      <w:tr w:rsidR="00275AC2" w:rsidRPr="001B278D" w14:paraId="76CDEEB9"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72A2468" w14:textId="77777777" w:rsidR="00275AC2" w:rsidRPr="001B278D" w:rsidRDefault="00275AC2" w:rsidP="00BD77F5">
            <w:pPr>
              <w:spacing w:line="374" w:lineRule="atLeast"/>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6C38B90"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Quality Council of India (QCI) is the Implementing Agency of the Scheme.</w:t>
            </w:r>
          </w:p>
        </w:tc>
      </w:tr>
      <w:tr w:rsidR="00275AC2" w:rsidRPr="001B278D" w14:paraId="64793B46" w14:textId="77777777" w:rsidTr="00BD77F5">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54C201F" w14:textId="77777777" w:rsidR="00275AC2" w:rsidRPr="001B278D" w:rsidRDefault="003B7175" w:rsidP="00BD77F5">
            <w:pPr>
              <w:spacing w:line="374" w:lineRule="atLeast"/>
              <w:rPr>
                <w:rFonts w:ascii="Arial" w:hAnsi="Arial" w:cs="Arial"/>
                <w:sz w:val="20"/>
                <w:szCs w:val="20"/>
              </w:rPr>
            </w:pPr>
            <w:hyperlink r:id="rId84" w:tgtFrame="_parent" w:history="1">
              <w:r w:rsidR="00275AC2" w:rsidRPr="001B278D">
                <w:rPr>
                  <w:rStyle w:val="Hyperlink"/>
                  <w:rFonts w:ascii="Arial" w:hAnsi="Arial" w:cs="Arial"/>
                  <w:color w:val="1253CA"/>
                  <w:sz w:val="20"/>
                  <w:szCs w:val="20"/>
                  <w:u w:val="none"/>
                </w:rPr>
                <w:t>Download Scheme Guidelines</w:t>
              </w:r>
            </w:hyperlink>
          </w:p>
        </w:tc>
      </w:tr>
    </w:tbl>
    <w:p w14:paraId="19E3C97E" w14:textId="77777777" w:rsidR="00275AC2" w:rsidRPr="001B278D" w:rsidRDefault="00275AC2" w:rsidP="00275AC2">
      <w:pPr>
        <w:pStyle w:val="Heading1"/>
        <w:spacing w:before="0" w:beforeAutospacing="0" w:after="0" w:afterAutospacing="0"/>
        <w:textAlignment w:val="baseline"/>
        <w:rPr>
          <w:rFonts w:ascii="Arial" w:hAnsi="Arial" w:cs="Arial"/>
          <w:b w:val="0"/>
          <w:bCs w:val="0"/>
          <w:color w:val="000000"/>
          <w:sz w:val="20"/>
          <w:szCs w:val="20"/>
        </w:rPr>
      </w:pPr>
      <w:r w:rsidRPr="001B278D">
        <w:rPr>
          <w:rFonts w:ascii="Arial" w:hAnsi="Arial" w:cs="Arial"/>
          <w:b w:val="0"/>
          <w:bCs w:val="0"/>
          <w:color w:val="000000"/>
          <w:sz w:val="20"/>
          <w:szCs w:val="20"/>
        </w:rPr>
        <w:t>1.3.3. MSME-COMPETITIVE (LEAN)</w:t>
      </w:r>
      <w:r w:rsidRPr="001B278D">
        <w:rPr>
          <w:rFonts w:ascii="Arial" w:hAnsi="Arial" w:cs="Arial"/>
          <w:b w:val="0"/>
          <w:bCs w:val="0"/>
          <w:color w:val="000000"/>
          <w:sz w:val="20"/>
          <w:szCs w:val="20"/>
        </w:rPr>
        <w:br/>
        <w:t>(A component of MSME Champions scheme)</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04"/>
        <w:gridCol w:w="7306"/>
      </w:tblGrid>
      <w:tr w:rsidR="00275AC2" w:rsidRPr="001B278D" w14:paraId="7F367BAA"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2B5B12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F5AF35A"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Lean Manufacturing Competitiveness for MSMEs</w:t>
            </w:r>
          </w:p>
        </w:tc>
      </w:tr>
      <w:tr w:rsidR="00275AC2" w:rsidRPr="001B278D" w14:paraId="6E847B5D"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8331CE5"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lastRenderedPageBreak/>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BE86C04"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 Competitive (Lean) Scheme is an extensive drive on the part of Ministry of Micro, Small and Medium Enterprises for enhancing the competitiveness of MSME Sectors through implementation of Lean Tools and Techniques. Lean Tools and Techniques are a tested and proven methodology for improving the competitiveness of MSME sector.</w:t>
            </w:r>
          </w:p>
        </w:tc>
      </w:tr>
      <w:tr w:rsidR="00275AC2" w:rsidRPr="001B278D" w14:paraId="38F6037F"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B7D9B8A"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Nature of assistance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CC4E79B"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Cost of Implementation:</w:t>
            </w:r>
            <w:r w:rsidRPr="001B278D">
              <w:rPr>
                <w:rFonts w:ascii="Arial" w:hAnsi="Arial" w:cs="Arial"/>
                <w:sz w:val="20"/>
                <w:szCs w:val="20"/>
              </w:rPr>
              <w:t> Basic-Free; Intermediate- Rs. 1,20,000/-; Advance- Rs. 2,40,000/-</w:t>
            </w:r>
            <w:r w:rsidRPr="001B278D">
              <w:rPr>
                <w:rFonts w:ascii="Arial" w:hAnsi="Arial" w:cs="Arial"/>
                <w:sz w:val="20"/>
                <w:szCs w:val="20"/>
              </w:rPr>
              <w:br/>
            </w:r>
            <w:r w:rsidRPr="001B278D">
              <w:rPr>
                <w:rFonts w:ascii="Arial" w:hAnsi="Arial" w:cs="Arial"/>
                <w:sz w:val="20"/>
                <w:szCs w:val="20"/>
              </w:rPr>
              <w:br/>
              <w:t>Financial Assistance to group of MSME Units for adoption of Lean tools/techniques</w:t>
            </w:r>
            <w:r w:rsidRPr="001B278D">
              <w:rPr>
                <w:rFonts w:ascii="Arial" w:hAnsi="Arial" w:cs="Arial"/>
                <w:sz w:val="20"/>
                <w:szCs w:val="20"/>
              </w:rPr>
              <w:br/>
            </w:r>
            <w:r w:rsidRPr="001B278D">
              <w:rPr>
                <w:rFonts w:ascii="Arial" w:hAnsi="Arial" w:cs="Arial"/>
                <w:sz w:val="20"/>
                <w:szCs w:val="20"/>
              </w:rPr>
              <w:br/>
              <w:t>Subsidy on cost of Implementation: 90% of Total Cost of Implementation</w:t>
            </w:r>
          </w:p>
        </w:tc>
      </w:tr>
      <w:tr w:rsidR="00275AC2" w:rsidRPr="001B278D" w14:paraId="75ED131A"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0F0DEFA"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Eligibility/ Applicability: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3A6ED5E"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xml:space="preserve">All MSMEs registered with the UDYAM registration portal (of the </w:t>
            </w:r>
            <w:proofErr w:type="spellStart"/>
            <w:r w:rsidRPr="001B278D">
              <w:rPr>
                <w:rFonts w:ascii="Arial" w:hAnsi="Arial" w:cs="Arial"/>
                <w:sz w:val="20"/>
                <w:szCs w:val="20"/>
              </w:rPr>
              <w:t>MoMSME</w:t>
            </w:r>
            <w:proofErr w:type="spellEnd"/>
            <w:r w:rsidRPr="001B278D">
              <w:rPr>
                <w:rFonts w:ascii="Arial" w:hAnsi="Arial" w:cs="Arial"/>
                <w:sz w:val="20"/>
                <w:szCs w:val="20"/>
              </w:rPr>
              <w:t>) will be eligible to participate in MSME-COMPETITIVE (LEAN) and avail related benefits/incentives.</w:t>
            </w:r>
          </w:p>
        </w:tc>
      </w:tr>
      <w:tr w:rsidR="00275AC2" w:rsidRPr="001B278D" w14:paraId="549C3BC9"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302B220"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How to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9783BD5"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Eligible MSMEs shall apply through online portal.</w:t>
            </w:r>
          </w:p>
        </w:tc>
      </w:tr>
      <w:tr w:rsidR="00275AC2" w:rsidRPr="001B278D" w14:paraId="7D49A52B"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8AE6CF5"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Contact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696ABC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xml:space="preserve">Office of Development Commissioner (MSME), Ministry of MSME, </w:t>
            </w:r>
            <w:proofErr w:type="spellStart"/>
            <w:r w:rsidRPr="001B278D">
              <w:rPr>
                <w:rFonts w:ascii="Arial" w:hAnsi="Arial" w:cs="Arial"/>
                <w:sz w:val="20"/>
                <w:szCs w:val="20"/>
              </w:rPr>
              <w:t>Nirman</w:t>
            </w:r>
            <w:proofErr w:type="spellEnd"/>
            <w:r w:rsidRPr="001B278D">
              <w:rPr>
                <w:rFonts w:ascii="Arial" w:hAnsi="Arial" w:cs="Arial"/>
                <w:sz w:val="20"/>
                <w:szCs w:val="20"/>
              </w:rPr>
              <w:t xml:space="preserve"> </w:t>
            </w:r>
            <w:proofErr w:type="spellStart"/>
            <w:r w:rsidRPr="001B278D">
              <w:rPr>
                <w:rFonts w:ascii="Arial" w:hAnsi="Arial" w:cs="Arial"/>
                <w:sz w:val="20"/>
                <w:szCs w:val="20"/>
              </w:rPr>
              <w:t>Bhawan</w:t>
            </w:r>
            <w:proofErr w:type="spellEnd"/>
            <w:r w:rsidRPr="001B278D">
              <w:rPr>
                <w:rFonts w:ascii="Arial" w:hAnsi="Arial" w:cs="Arial"/>
                <w:sz w:val="20"/>
                <w:szCs w:val="20"/>
              </w:rPr>
              <w:t>, New Delhi. </w:t>
            </w:r>
            <w:hyperlink r:id="rId85" w:history="1">
              <w:r w:rsidRPr="001B278D">
                <w:rPr>
                  <w:rStyle w:val="Hyperlink"/>
                  <w:rFonts w:ascii="Arial" w:hAnsi="Arial" w:cs="Arial"/>
                  <w:color w:val="1253CA"/>
                  <w:sz w:val="20"/>
                  <w:szCs w:val="20"/>
                  <w:u w:val="none"/>
                </w:rPr>
                <w:t>http://www.dcmsme.gov.in</w:t>
              </w:r>
            </w:hyperlink>
          </w:p>
        </w:tc>
      </w:tr>
      <w:tr w:rsidR="00275AC2" w:rsidRPr="001B278D" w14:paraId="29C97151"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D5270B0" w14:textId="77777777" w:rsidR="00275AC2" w:rsidRPr="001B278D" w:rsidRDefault="00275AC2" w:rsidP="00BD77F5">
            <w:pPr>
              <w:spacing w:line="374" w:lineRule="atLeast"/>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EB9D266"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Quality Council of India (QCI) &amp; National Productivity Council (NPC) are Implementing Agencies.</w:t>
            </w:r>
          </w:p>
        </w:tc>
      </w:tr>
      <w:tr w:rsidR="00275AC2" w:rsidRPr="001B278D" w14:paraId="7C758538" w14:textId="77777777" w:rsidTr="00BD77F5">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00CF73C" w14:textId="77777777" w:rsidR="00275AC2" w:rsidRPr="001B278D" w:rsidRDefault="003B7175" w:rsidP="00BD77F5">
            <w:pPr>
              <w:spacing w:line="374" w:lineRule="atLeast"/>
              <w:rPr>
                <w:rFonts w:ascii="Arial" w:hAnsi="Arial" w:cs="Arial"/>
                <w:sz w:val="20"/>
                <w:szCs w:val="20"/>
              </w:rPr>
            </w:pPr>
            <w:hyperlink r:id="rId86" w:history="1">
              <w:r w:rsidR="00275AC2" w:rsidRPr="001B278D">
                <w:rPr>
                  <w:rStyle w:val="Hyperlink"/>
                  <w:rFonts w:ascii="Arial" w:hAnsi="Arial" w:cs="Arial"/>
                  <w:color w:val="1253CA"/>
                  <w:sz w:val="20"/>
                  <w:szCs w:val="20"/>
                  <w:u w:val="none"/>
                </w:rPr>
                <w:t>Download Scheme Guidelines</w:t>
              </w:r>
            </w:hyperlink>
          </w:p>
        </w:tc>
      </w:tr>
    </w:tbl>
    <w:p w14:paraId="4384C009" w14:textId="77777777" w:rsidR="00275AC2" w:rsidRPr="001B278D" w:rsidRDefault="00275AC2" w:rsidP="00275AC2">
      <w:pPr>
        <w:pStyle w:val="Heading1"/>
        <w:spacing w:before="0" w:beforeAutospacing="0" w:after="0" w:afterAutospacing="0"/>
        <w:textAlignment w:val="baseline"/>
        <w:rPr>
          <w:rFonts w:ascii="Arial" w:hAnsi="Arial" w:cs="Arial"/>
          <w:b w:val="0"/>
          <w:bCs w:val="0"/>
          <w:color w:val="000000"/>
          <w:sz w:val="20"/>
          <w:szCs w:val="20"/>
        </w:rPr>
      </w:pPr>
      <w:r w:rsidRPr="001B278D">
        <w:rPr>
          <w:rFonts w:ascii="Arial" w:hAnsi="Arial" w:cs="Arial"/>
          <w:b w:val="0"/>
          <w:bCs w:val="0"/>
          <w:color w:val="000000"/>
          <w:sz w:val="20"/>
          <w:szCs w:val="20"/>
        </w:rPr>
        <w:t>1.3.4. MSME- Innovative (Incubation, IPR, Design and Digital MSME)</w:t>
      </w:r>
      <w:r w:rsidRPr="001B278D">
        <w:rPr>
          <w:rFonts w:ascii="Arial" w:hAnsi="Arial" w:cs="Arial"/>
          <w:b w:val="0"/>
          <w:bCs w:val="0"/>
          <w:color w:val="000000"/>
          <w:sz w:val="20"/>
          <w:szCs w:val="20"/>
        </w:rPr>
        <w:br/>
        <w:t>(A component of MSME Champions scheme)</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90"/>
        <w:gridCol w:w="7320"/>
      </w:tblGrid>
      <w:tr w:rsidR="00275AC2" w:rsidRPr="001B278D" w14:paraId="44006D9D"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6C7FB80"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1083C5C"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MSME- Innovative (Incubation, IPR, Design and Digital MSME)</w:t>
            </w:r>
          </w:p>
        </w:tc>
      </w:tr>
      <w:tr w:rsidR="00275AC2" w:rsidRPr="001B278D" w14:paraId="10C5DB73"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F79F1DB"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44045E2"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xml:space="preserve">MSME Innovative is a new concept for MSMEs with a combination of innovation in incubation, design intervention and by protecting IPR in a single </w:t>
            </w:r>
            <w:r w:rsidRPr="001B278D">
              <w:rPr>
                <w:rFonts w:ascii="Arial" w:hAnsi="Arial" w:cs="Arial"/>
                <w:sz w:val="20"/>
                <w:szCs w:val="20"/>
              </w:rPr>
              <w:lastRenderedPageBreak/>
              <w:t>mode approach to create awareness amongst MSMEs about India’s innovation and motivate them to become MSME Champions. This will act as a hub for innovation activities facilitating and guiding development of ideas into viable business proposition that can benefit society directly and can be marketed successfully.</w:t>
            </w:r>
          </w:p>
        </w:tc>
      </w:tr>
      <w:tr w:rsidR="00275AC2" w:rsidRPr="001B278D" w14:paraId="484AD264"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1809748"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lastRenderedPageBreak/>
              <w:t>Nature of assistance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D386A18"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Incubation</w:t>
            </w:r>
            <w:r w:rsidRPr="001B278D">
              <w:rPr>
                <w:rFonts w:ascii="Arial" w:hAnsi="Arial" w:cs="Arial"/>
                <w:sz w:val="20"/>
                <w:szCs w:val="20"/>
              </w:rPr>
              <w:br/>
            </w:r>
            <w:r w:rsidRPr="001B278D">
              <w:rPr>
                <w:rFonts w:ascii="Arial" w:hAnsi="Arial" w:cs="Arial"/>
                <w:sz w:val="20"/>
                <w:szCs w:val="20"/>
              </w:rPr>
              <w:br/>
              <w:t>• Financial Assistance to HI for developing and nurturing the ideas- shall be provided up to maximum of Rs. 15 lakh per idea to HI.</w:t>
            </w:r>
            <w:r w:rsidRPr="001B278D">
              <w:rPr>
                <w:rFonts w:ascii="Arial" w:hAnsi="Arial" w:cs="Arial"/>
                <w:sz w:val="20"/>
                <w:szCs w:val="20"/>
              </w:rPr>
              <w:br/>
            </w:r>
            <w:r w:rsidRPr="001B278D">
              <w:rPr>
                <w:rFonts w:ascii="Arial" w:hAnsi="Arial" w:cs="Arial"/>
                <w:sz w:val="20"/>
                <w:szCs w:val="20"/>
              </w:rPr>
              <w:br/>
              <w:t xml:space="preserve">• Financial assistance for Plant and Machinery to HI up to Rs. 1.00 cr. (max) - shall be provided for procurement and installation of relevant plant and machines including hardware and software etc. in BI for R&amp;D activities and common facilities for </w:t>
            </w:r>
            <w:proofErr w:type="spellStart"/>
            <w:r w:rsidRPr="001B278D">
              <w:rPr>
                <w:rFonts w:ascii="Arial" w:hAnsi="Arial" w:cs="Arial"/>
                <w:sz w:val="20"/>
                <w:szCs w:val="20"/>
              </w:rPr>
              <w:t>incubatees</w:t>
            </w:r>
            <w:proofErr w:type="spellEnd"/>
            <w:r w:rsidRPr="001B278D">
              <w:rPr>
                <w:rFonts w:ascii="Arial" w:hAnsi="Arial" w:cs="Arial"/>
                <w:sz w:val="20"/>
                <w:szCs w:val="20"/>
              </w:rPr>
              <w:t xml:space="preserve"> of BI.</w:t>
            </w:r>
            <w:r w:rsidRPr="001B278D">
              <w:rPr>
                <w:rFonts w:ascii="Arial" w:hAnsi="Arial" w:cs="Arial"/>
                <w:sz w:val="20"/>
                <w:szCs w:val="20"/>
              </w:rPr>
              <w:br/>
            </w:r>
            <w:r w:rsidRPr="001B278D">
              <w:rPr>
                <w:rFonts w:ascii="Arial" w:hAnsi="Arial" w:cs="Arial"/>
                <w:sz w:val="20"/>
                <w:szCs w:val="20"/>
              </w:rPr>
              <w:br/>
            </w:r>
            <w:r w:rsidRPr="001B278D">
              <w:rPr>
                <w:rFonts w:ascii="Arial" w:hAnsi="Arial" w:cs="Arial"/>
                <w:b/>
                <w:bCs/>
                <w:sz w:val="20"/>
                <w:szCs w:val="20"/>
                <w:bdr w:val="none" w:sz="0" w:space="0" w:color="auto" w:frame="1"/>
              </w:rPr>
              <w:t>Design</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Design Project</w:t>
            </w:r>
            <w:r w:rsidRPr="001B278D">
              <w:rPr>
                <w:rFonts w:ascii="Arial" w:hAnsi="Arial" w:cs="Arial"/>
                <w:sz w:val="20"/>
                <w:szCs w:val="20"/>
              </w:rPr>
              <w:t xml:space="preserve">: 75% of the total project cost will be contributed by </w:t>
            </w:r>
            <w:proofErr w:type="spellStart"/>
            <w:r w:rsidRPr="001B278D">
              <w:rPr>
                <w:rFonts w:ascii="Arial" w:hAnsi="Arial" w:cs="Arial"/>
                <w:sz w:val="20"/>
                <w:szCs w:val="20"/>
              </w:rPr>
              <w:t>GoI</w:t>
            </w:r>
            <w:proofErr w:type="spellEnd"/>
            <w:r w:rsidRPr="001B278D">
              <w:rPr>
                <w:rFonts w:ascii="Arial" w:hAnsi="Arial" w:cs="Arial"/>
                <w:sz w:val="20"/>
                <w:szCs w:val="20"/>
              </w:rPr>
              <w:t xml:space="preserve"> up to a maximum of Rs. 40 lakh</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Student Project</w:t>
            </w:r>
            <w:r w:rsidRPr="001B278D">
              <w:rPr>
                <w:rFonts w:ascii="Arial" w:hAnsi="Arial" w:cs="Arial"/>
                <w:sz w:val="20"/>
                <w:szCs w:val="20"/>
              </w:rPr>
              <w:t xml:space="preserve">: 75% of the total project cost will be contributed by </w:t>
            </w:r>
            <w:proofErr w:type="spellStart"/>
            <w:r w:rsidRPr="001B278D">
              <w:rPr>
                <w:rFonts w:ascii="Arial" w:hAnsi="Arial" w:cs="Arial"/>
                <w:sz w:val="20"/>
                <w:szCs w:val="20"/>
              </w:rPr>
              <w:t>GoI</w:t>
            </w:r>
            <w:proofErr w:type="spellEnd"/>
            <w:r w:rsidRPr="001B278D">
              <w:rPr>
                <w:rFonts w:ascii="Arial" w:hAnsi="Arial" w:cs="Arial"/>
                <w:sz w:val="20"/>
                <w:szCs w:val="20"/>
              </w:rPr>
              <w:t xml:space="preserve"> up to a maximum of Rs. 2.5 lakh</w:t>
            </w:r>
            <w:r w:rsidRPr="001B278D">
              <w:rPr>
                <w:rFonts w:ascii="Arial" w:hAnsi="Arial" w:cs="Arial"/>
                <w:sz w:val="20"/>
                <w:szCs w:val="20"/>
              </w:rPr>
              <w:br/>
            </w:r>
            <w:r w:rsidRPr="001B278D">
              <w:rPr>
                <w:rFonts w:ascii="Arial" w:hAnsi="Arial" w:cs="Arial"/>
                <w:sz w:val="20"/>
                <w:szCs w:val="20"/>
              </w:rPr>
              <w:br/>
            </w:r>
            <w:r w:rsidRPr="001B278D">
              <w:rPr>
                <w:rFonts w:ascii="Arial" w:hAnsi="Arial" w:cs="Arial"/>
                <w:b/>
                <w:bCs/>
                <w:sz w:val="20"/>
                <w:szCs w:val="20"/>
                <w:bdr w:val="none" w:sz="0" w:space="0" w:color="auto" w:frame="1"/>
              </w:rPr>
              <w:t>IPR</w:t>
            </w:r>
            <w:r w:rsidRPr="001B278D">
              <w:rPr>
                <w:rFonts w:ascii="Arial" w:hAnsi="Arial" w:cs="Arial"/>
                <w:sz w:val="20"/>
                <w:szCs w:val="20"/>
              </w:rPr>
              <w:br/>
            </w:r>
            <w:r w:rsidRPr="001B278D">
              <w:rPr>
                <w:rFonts w:ascii="Arial" w:hAnsi="Arial" w:cs="Arial"/>
                <w:sz w:val="20"/>
                <w:szCs w:val="20"/>
              </w:rPr>
              <w:br/>
              <w:t xml:space="preserve">• A Grant of up to Rs. 1 crore would be provided to an IPFC in milestone-based (three or more) </w:t>
            </w:r>
            <w:proofErr w:type="spellStart"/>
            <w:r w:rsidRPr="001B278D">
              <w:rPr>
                <w:rFonts w:ascii="Arial" w:hAnsi="Arial" w:cs="Arial"/>
                <w:sz w:val="20"/>
                <w:szCs w:val="20"/>
              </w:rPr>
              <w:t>installments</w:t>
            </w:r>
            <w:proofErr w:type="spellEnd"/>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Reimbursement for registration of Patent, Trademark, Geographical Indications (G.I.), Design</w:t>
            </w:r>
            <w:r w:rsidRPr="001B278D">
              <w:rPr>
                <w:rFonts w:ascii="Arial" w:hAnsi="Arial" w:cs="Arial"/>
                <w:sz w:val="20"/>
                <w:szCs w:val="20"/>
              </w:rPr>
              <w:t>: The maximum financial assistance to the eligible applicants under the IPR component is as follows:</w:t>
            </w:r>
          </w:p>
        </w:tc>
      </w:tr>
      <w:tr w:rsidR="00275AC2" w:rsidRPr="001B278D" w14:paraId="34A1DE02"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9761E97"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t>Item</w:t>
            </w:r>
            <w:r w:rsidRPr="001B278D">
              <w:rPr>
                <w:rFonts w:ascii="Arial" w:hAnsi="Arial" w:cs="Arial"/>
                <w:sz w:val="20"/>
                <w:szCs w:val="20"/>
              </w:rPr>
              <w:br/>
            </w:r>
            <w:r w:rsidRPr="001B278D">
              <w:rPr>
                <w:rFonts w:ascii="Arial" w:hAnsi="Arial" w:cs="Arial"/>
                <w:sz w:val="20"/>
                <w:szCs w:val="20"/>
              </w:rPr>
              <w:br/>
            </w:r>
            <w:proofErr w:type="spellStart"/>
            <w:r w:rsidRPr="001B278D">
              <w:rPr>
                <w:rFonts w:ascii="Arial" w:hAnsi="Arial" w:cs="Arial"/>
                <w:sz w:val="20"/>
                <w:szCs w:val="20"/>
              </w:rPr>
              <w:lastRenderedPageBreak/>
              <w:t>i</w:t>
            </w:r>
            <w:proofErr w:type="spellEnd"/>
            <w:r w:rsidRPr="001B278D">
              <w:rPr>
                <w:rFonts w:ascii="Arial" w:hAnsi="Arial" w:cs="Arial"/>
                <w:sz w:val="20"/>
                <w:szCs w:val="20"/>
              </w:rPr>
              <w:t>. Foreign Patent</w:t>
            </w:r>
            <w:r w:rsidRPr="001B278D">
              <w:rPr>
                <w:rFonts w:ascii="Arial" w:hAnsi="Arial" w:cs="Arial"/>
                <w:sz w:val="20"/>
                <w:szCs w:val="20"/>
              </w:rPr>
              <w:br/>
            </w:r>
            <w:r w:rsidRPr="001B278D">
              <w:rPr>
                <w:rFonts w:ascii="Arial" w:hAnsi="Arial" w:cs="Arial"/>
                <w:sz w:val="20"/>
                <w:szCs w:val="20"/>
              </w:rPr>
              <w:br/>
              <w:t>ii. Domestic Patent</w:t>
            </w:r>
            <w:r w:rsidRPr="001B278D">
              <w:rPr>
                <w:rFonts w:ascii="Arial" w:hAnsi="Arial" w:cs="Arial"/>
                <w:sz w:val="20"/>
                <w:szCs w:val="20"/>
              </w:rPr>
              <w:br/>
            </w:r>
            <w:r w:rsidRPr="001B278D">
              <w:rPr>
                <w:rFonts w:ascii="Arial" w:hAnsi="Arial" w:cs="Arial"/>
                <w:sz w:val="20"/>
                <w:szCs w:val="20"/>
              </w:rPr>
              <w:br/>
              <w:t>iii. GI Registration</w:t>
            </w:r>
            <w:r w:rsidRPr="001B278D">
              <w:rPr>
                <w:rFonts w:ascii="Arial" w:hAnsi="Arial" w:cs="Arial"/>
                <w:sz w:val="20"/>
                <w:szCs w:val="20"/>
              </w:rPr>
              <w:br/>
            </w:r>
            <w:r w:rsidRPr="001B278D">
              <w:rPr>
                <w:rFonts w:ascii="Arial" w:hAnsi="Arial" w:cs="Arial"/>
                <w:sz w:val="20"/>
                <w:szCs w:val="20"/>
              </w:rPr>
              <w:br/>
              <w:t>iv. Design Registration</w:t>
            </w:r>
            <w:r w:rsidRPr="001B278D">
              <w:rPr>
                <w:rFonts w:ascii="Arial" w:hAnsi="Arial" w:cs="Arial"/>
                <w:sz w:val="20"/>
                <w:szCs w:val="20"/>
              </w:rPr>
              <w:br/>
            </w:r>
            <w:r w:rsidRPr="001B278D">
              <w:rPr>
                <w:rFonts w:ascii="Arial" w:hAnsi="Arial" w:cs="Arial"/>
                <w:sz w:val="20"/>
                <w:szCs w:val="20"/>
              </w:rPr>
              <w:br/>
              <w:t>v. Trademark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3808602"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Maximum Financial Assistance</w:t>
            </w:r>
            <w:r w:rsidRPr="001B278D">
              <w:rPr>
                <w:rFonts w:ascii="Arial" w:hAnsi="Arial" w:cs="Arial"/>
                <w:sz w:val="20"/>
                <w:szCs w:val="20"/>
              </w:rPr>
              <w:br/>
            </w:r>
            <w:r w:rsidRPr="001B278D">
              <w:rPr>
                <w:rFonts w:ascii="Arial" w:hAnsi="Arial" w:cs="Arial"/>
                <w:sz w:val="20"/>
                <w:szCs w:val="20"/>
              </w:rPr>
              <w:br/>
            </w:r>
            <w:r w:rsidRPr="001B278D">
              <w:rPr>
                <w:rFonts w:ascii="Arial" w:hAnsi="Arial" w:cs="Arial"/>
                <w:sz w:val="20"/>
                <w:szCs w:val="20"/>
              </w:rPr>
              <w:lastRenderedPageBreak/>
              <w:t>Rs. 5.00 lakh</w:t>
            </w:r>
            <w:r w:rsidRPr="001B278D">
              <w:rPr>
                <w:rFonts w:ascii="Arial" w:hAnsi="Arial" w:cs="Arial"/>
                <w:sz w:val="20"/>
                <w:szCs w:val="20"/>
              </w:rPr>
              <w:br/>
            </w:r>
            <w:r w:rsidRPr="001B278D">
              <w:rPr>
                <w:rFonts w:ascii="Arial" w:hAnsi="Arial" w:cs="Arial"/>
                <w:sz w:val="20"/>
                <w:szCs w:val="20"/>
              </w:rPr>
              <w:br/>
              <w:t>Rs. 1.00 lakh</w:t>
            </w:r>
            <w:r w:rsidRPr="001B278D">
              <w:rPr>
                <w:rFonts w:ascii="Arial" w:hAnsi="Arial" w:cs="Arial"/>
                <w:sz w:val="20"/>
                <w:szCs w:val="20"/>
              </w:rPr>
              <w:br/>
            </w:r>
            <w:r w:rsidRPr="001B278D">
              <w:rPr>
                <w:rFonts w:ascii="Arial" w:hAnsi="Arial" w:cs="Arial"/>
                <w:sz w:val="20"/>
                <w:szCs w:val="20"/>
              </w:rPr>
              <w:br/>
              <w:t>Rs. 2.00 lakh</w:t>
            </w:r>
            <w:r w:rsidRPr="001B278D">
              <w:rPr>
                <w:rFonts w:ascii="Arial" w:hAnsi="Arial" w:cs="Arial"/>
                <w:sz w:val="20"/>
                <w:szCs w:val="20"/>
              </w:rPr>
              <w:br/>
            </w:r>
            <w:r w:rsidRPr="001B278D">
              <w:rPr>
                <w:rFonts w:ascii="Arial" w:hAnsi="Arial" w:cs="Arial"/>
                <w:sz w:val="20"/>
                <w:szCs w:val="20"/>
              </w:rPr>
              <w:br/>
              <w:t>Rs. 0.15 lakh</w:t>
            </w:r>
            <w:r w:rsidRPr="001B278D">
              <w:rPr>
                <w:rFonts w:ascii="Arial" w:hAnsi="Arial" w:cs="Arial"/>
                <w:sz w:val="20"/>
                <w:szCs w:val="20"/>
              </w:rPr>
              <w:br/>
            </w:r>
            <w:r w:rsidRPr="001B278D">
              <w:rPr>
                <w:rFonts w:ascii="Arial" w:hAnsi="Arial" w:cs="Arial"/>
                <w:sz w:val="20"/>
                <w:szCs w:val="20"/>
              </w:rPr>
              <w:br/>
              <w:t>Rs. 0.10 lakh</w:t>
            </w:r>
          </w:p>
        </w:tc>
      </w:tr>
      <w:tr w:rsidR="00275AC2" w:rsidRPr="001B278D" w14:paraId="6A7A23FA"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0CEC00E" w14:textId="77777777" w:rsidR="00275AC2" w:rsidRPr="001B278D" w:rsidRDefault="00275AC2" w:rsidP="00BD77F5">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Eligibility/ Applicability: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6AA9DF2"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w:t>
            </w:r>
            <w:r w:rsidRPr="001B278D">
              <w:rPr>
                <w:rFonts w:ascii="Arial" w:hAnsi="Arial" w:cs="Arial"/>
                <w:b/>
                <w:bCs/>
                <w:sz w:val="20"/>
                <w:szCs w:val="20"/>
                <w:bdr w:val="none" w:sz="0" w:space="0" w:color="auto" w:frame="1"/>
              </w:rPr>
              <w:t>Incubation</w:t>
            </w:r>
            <w:r w:rsidRPr="001B278D">
              <w:rPr>
                <w:rFonts w:ascii="Arial" w:hAnsi="Arial" w:cs="Arial"/>
                <w:sz w:val="20"/>
                <w:szCs w:val="20"/>
              </w:rPr>
              <w:t>: MSMEs, Individuals, Students who want to develop their innovative ideas can apply through registered HIs.</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Design</w:t>
            </w:r>
            <w:r w:rsidRPr="001B278D">
              <w:rPr>
                <w:rFonts w:ascii="Arial" w:hAnsi="Arial" w:cs="Arial"/>
                <w:sz w:val="20"/>
                <w:szCs w:val="20"/>
              </w:rPr>
              <w:t xml:space="preserve">: The beneficiary unit(s) must typically be a registered micro, small or medium enterprises as per the definition in MSMED Act and should have a valid UAM or </w:t>
            </w:r>
            <w:proofErr w:type="spellStart"/>
            <w:r w:rsidRPr="001B278D">
              <w:rPr>
                <w:rFonts w:ascii="Arial" w:hAnsi="Arial" w:cs="Arial"/>
                <w:sz w:val="20"/>
                <w:szCs w:val="20"/>
              </w:rPr>
              <w:t>Udyam</w:t>
            </w:r>
            <w:proofErr w:type="spellEnd"/>
            <w:r w:rsidRPr="001B278D">
              <w:rPr>
                <w:rFonts w:ascii="Arial" w:hAnsi="Arial" w:cs="Arial"/>
                <w:sz w:val="20"/>
                <w:szCs w:val="20"/>
              </w:rPr>
              <w:t xml:space="preserve"> Registration.</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IPR</w:t>
            </w:r>
            <w:r w:rsidRPr="001B278D">
              <w:rPr>
                <w:rFonts w:ascii="Arial" w:hAnsi="Arial" w:cs="Arial"/>
                <w:sz w:val="20"/>
                <w:szCs w:val="20"/>
              </w:rPr>
              <w:t>: For Manufacturing MSMEs with UAM/UDYAM Registration.</w:t>
            </w:r>
          </w:p>
        </w:tc>
      </w:tr>
      <w:tr w:rsidR="00275AC2" w:rsidRPr="001B278D" w14:paraId="5BE22DDE"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AC33091"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How to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D2B2974"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The eligible applicants may apply at the MIS portal </w:t>
            </w:r>
            <w:hyperlink r:id="rId87" w:history="1">
              <w:r w:rsidRPr="001B278D">
                <w:rPr>
                  <w:rStyle w:val="Hyperlink"/>
                  <w:rFonts w:ascii="Arial" w:hAnsi="Arial" w:cs="Arial"/>
                  <w:color w:val="1253CA"/>
                  <w:sz w:val="20"/>
                  <w:szCs w:val="20"/>
                  <w:u w:val="none"/>
                </w:rPr>
                <w:t>https://innovative.msme.gov.in</w:t>
              </w:r>
            </w:hyperlink>
          </w:p>
        </w:tc>
      </w:tr>
      <w:tr w:rsidR="00275AC2" w:rsidRPr="001B278D" w14:paraId="7582DB60" w14:textId="77777777" w:rsidTr="00BD77F5">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F06789D"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Contact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64DE625" w14:textId="77777777" w:rsidR="00275AC2" w:rsidRPr="001B278D" w:rsidRDefault="00275AC2" w:rsidP="00BD77F5">
            <w:pPr>
              <w:spacing w:line="374" w:lineRule="atLeast"/>
              <w:rPr>
                <w:rFonts w:ascii="Arial" w:hAnsi="Arial" w:cs="Arial"/>
                <w:sz w:val="20"/>
                <w:szCs w:val="20"/>
              </w:rPr>
            </w:pPr>
            <w:r w:rsidRPr="001B278D">
              <w:rPr>
                <w:rFonts w:ascii="Arial" w:hAnsi="Arial" w:cs="Arial"/>
                <w:sz w:val="20"/>
                <w:szCs w:val="20"/>
              </w:rPr>
              <w:t xml:space="preserve">Office of Development Commissioner (MSME), Ministry of MSME, </w:t>
            </w:r>
            <w:proofErr w:type="spellStart"/>
            <w:r w:rsidRPr="001B278D">
              <w:rPr>
                <w:rFonts w:ascii="Arial" w:hAnsi="Arial" w:cs="Arial"/>
                <w:sz w:val="20"/>
                <w:szCs w:val="20"/>
              </w:rPr>
              <w:t>Nirman</w:t>
            </w:r>
            <w:proofErr w:type="spellEnd"/>
            <w:r w:rsidRPr="001B278D">
              <w:rPr>
                <w:rFonts w:ascii="Arial" w:hAnsi="Arial" w:cs="Arial"/>
                <w:sz w:val="20"/>
                <w:szCs w:val="20"/>
              </w:rPr>
              <w:t xml:space="preserve"> </w:t>
            </w:r>
            <w:proofErr w:type="spellStart"/>
            <w:r w:rsidRPr="001B278D">
              <w:rPr>
                <w:rFonts w:ascii="Arial" w:hAnsi="Arial" w:cs="Arial"/>
                <w:sz w:val="20"/>
                <w:szCs w:val="20"/>
              </w:rPr>
              <w:t>Bhawan</w:t>
            </w:r>
            <w:proofErr w:type="spellEnd"/>
            <w:r w:rsidRPr="001B278D">
              <w:rPr>
                <w:rFonts w:ascii="Arial" w:hAnsi="Arial" w:cs="Arial"/>
                <w:sz w:val="20"/>
                <w:szCs w:val="20"/>
              </w:rPr>
              <w:t>, New Delhi.</w:t>
            </w:r>
            <w:r w:rsidRPr="001B278D">
              <w:rPr>
                <w:rFonts w:ascii="Arial" w:hAnsi="Arial" w:cs="Arial"/>
                <w:sz w:val="20"/>
                <w:szCs w:val="20"/>
              </w:rPr>
              <w:br/>
            </w:r>
            <w:hyperlink r:id="rId88" w:history="1">
              <w:r w:rsidRPr="001B278D">
                <w:rPr>
                  <w:rStyle w:val="Hyperlink"/>
                  <w:rFonts w:ascii="Arial" w:hAnsi="Arial" w:cs="Arial"/>
                  <w:color w:val="1253CA"/>
                  <w:sz w:val="20"/>
                  <w:szCs w:val="20"/>
                  <w:u w:val="none"/>
                </w:rPr>
                <w:t>http://www.dcmsme.gov.in</w:t>
              </w:r>
            </w:hyperlink>
          </w:p>
        </w:tc>
      </w:tr>
    </w:tbl>
    <w:p w14:paraId="3826EC15" w14:textId="77777777" w:rsidR="00275AC2" w:rsidRPr="001B278D" w:rsidRDefault="00275AC2" w:rsidP="00275AC2">
      <w:pPr>
        <w:pStyle w:val="NormalWeb"/>
        <w:rPr>
          <w:rFonts w:ascii="Arial" w:hAnsi="Arial" w:cs="Arial"/>
          <w:sz w:val="20"/>
          <w:szCs w:val="20"/>
        </w:rPr>
      </w:pPr>
    </w:p>
    <w:p w14:paraId="483BC55C" w14:textId="77777777" w:rsidR="00275AC2" w:rsidRDefault="00275AC2" w:rsidP="00275AC2">
      <w:pPr>
        <w:spacing w:before="240" w:after="0"/>
      </w:pPr>
      <w:r>
        <w:t>More details can be referred to in the below link.</w:t>
      </w:r>
    </w:p>
    <w:p w14:paraId="380F2B32" w14:textId="77777777" w:rsidR="00275AC2" w:rsidRDefault="00275AC2" w:rsidP="00275AC2">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9" w:history="1">
        <w:r w:rsidRPr="009E2415">
          <w:rPr>
            <w:rStyle w:val="Hyperlink"/>
            <w:rFonts w:ascii="Arial" w:hAnsi="Arial" w:cs="Arial"/>
            <w:bCs/>
            <w:sz w:val="20"/>
            <w:szCs w:val="20"/>
          </w:rPr>
          <w:t>https://msme.gov.in/technology-upgradation-and-quality-certification</w:t>
        </w:r>
      </w:hyperlink>
    </w:p>
    <w:p w14:paraId="38F8EFA9" w14:textId="77777777" w:rsidR="00275AC2" w:rsidRDefault="00275AC2" w:rsidP="00275AC2">
      <w:pPr>
        <w:pStyle w:val="NormalWeb"/>
        <w:rPr>
          <w:rFonts w:ascii="Arial" w:hAnsi="Arial" w:cs="Arial"/>
          <w:bCs/>
          <w:color w:val="000000"/>
          <w:sz w:val="20"/>
          <w:szCs w:val="20"/>
        </w:rPr>
      </w:pPr>
    </w:p>
    <w:p w14:paraId="410EFFB6" w14:textId="77777777" w:rsidR="00275AC2" w:rsidRPr="001B278D" w:rsidRDefault="00275AC2" w:rsidP="00275AC2">
      <w:pPr>
        <w:pStyle w:val="NormalWeb"/>
        <w:rPr>
          <w:rFonts w:ascii="Arial" w:hAnsi="Arial" w:cs="Arial"/>
          <w:sz w:val="20"/>
          <w:szCs w:val="20"/>
        </w:rPr>
      </w:pPr>
    </w:p>
    <w:p w14:paraId="3E57C8C0" w14:textId="77777777" w:rsidR="00275AC2" w:rsidRPr="009F65FC" w:rsidRDefault="00275AC2" w:rsidP="009F65FC">
      <w:pPr>
        <w:rPr>
          <w:b/>
          <w:bCs/>
          <w:lang w:val="en-US"/>
        </w:rPr>
      </w:pPr>
    </w:p>
    <w:sectPr w:rsidR="00275AC2" w:rsidRPr="009F6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7DC"/>
    <w:multiLevelType w:val="hybridMultilevel"/>
    <w:tmpl w:val="ADF05C2E"/>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B140606"/>
    <w:multiLevelType w:val="multilevel"/>
    <w:tmpl w:val="7B421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E1"/>
    <w:rsid w:val="00045DCA"/>
    <w:rsid w:val="001C3B05"/>
    <w:rsid w:val="00275AC2"/>
    <w:rsid w:val="002B51F6"/>
    <w:rsid w:val="003B7175"/>
    <w:rsid w:val="00572A17"/>
    <w:rsid w:val="007E0DC1"/>
    <w:rsid w:val="008A4BBA"/>
    <w:rsid w:val="009C3434"/>
    <w:rsid w:val="009F65FC"/>
    <w:rsid w:val="00AE7BE1"/>
    <w:rsid w:val="00CA0BE2"/>
    <w:rsid w:val="00F203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CE30"/>
  <w15:chartTrackingRefBased/>
  <w15:docId w15:val="{9FBE5304-5ED7-4B79-8CC6-6DDC7DF4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5A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275AC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5FC"/>
    <w:pPr>
      <w:ind w:left="720"/>
      <w:contextualSpacing/>
    </w:pPr>
  </w:style>
  <w:style w:type="paragraph" w:styleId="NormalWeb">
    <w:name w:val="Normal (Web)"/>
    <w:basedOn w:val="Normal"/>
    <w:uiPriority w:val="99"/>
    <w:unhideWhenUsed/>
    <w:rsid w:val="00572A1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572A1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72A17"/>
    <w:rPr>
      <w:color w:val="0000FF"/>
      <w:u w:val="single"/>
    </w:rPr>
  </w:style>
  <w:style w:type="character" w:customStyle="1" w:styleId="head1">
    <w:name w:val="head1"/>
    <w:basedOn w:val="DefaultParagraphFont"/>
    <w:rsid w:val="00572A17"/>
  </w:style>
  <w:style w:type="character" w:customStyle="1" w:styleId="Heading1Char">
    <w:name w:val="Heading 1 Char"/>
    <w:basedOn w:val="DefaultParagraphFont"/>
    <w:link w:val="Heading1"/>
    <w:uiPriority w:val="9"/>
    <w:rsid w:val="00275AC2"/>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275AC2"/>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5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NotificationUser.aspx?Id=12471&amp;Mode=0" TargetMode="External"/><Relationship Id="rId21" Type="http://schemas.openxmlformats.org/officeDocument/2006/relationships/hyperlink" Target="https://rbi.org.in/Scripts/NotificationUser.aspx?Id=12469&amp;Mode=0" TargetMode="External"/><Relationship Id="rId42" Type="http://schemas.openxmlformats.org/officeDocument/2006/relationships/hyperlink" Target="https://rbi.org.in/" TargetMode="External"/><Relationship Id="rId47" Type="http://schemas.openxmlformats.org/officeDocument/2006/relationships/hyperlink" Target="https://rbi.org.in/Scripts/BS_ViewMasCirculardetails.aspx?id=12283" TargetMode="External"/><Relationship Id="rId63" Type="http://schemas.openxmlformats.org/officeDocument/2006/relationships/hyperlink" Target="https://rbi.org.in/Scripts/BS_PressReleaseDisplay.aspx?prid=54187" TargetMode="External"/><Relationship Id="rId68" Type="http://schemas.openxmlformats.org/officeDocument/2006/relationships/hyperlink" Target="https://www.rbi.org.in/Scripts/NotificationUser.aspx?Id=11819&amp;Mode=0" TargetMode="External"/><Relationship Id="rId84" Type="http://schemas.openxmlformats.org/officeDocument/2006/relationships/hyperlink" Target="https://zed.msme.gov.in/uploads/Guideline_Book.pdf" TargetMode="External"/><Relationship Id="rId89" Type="http://schemas.openxmlformats.org/officeDocument/2006/relationships/hyperlink" Target="https://msme.gov.in/technology-upgradation-and-quality-certification" TargetMode="External"/><Relationship Id="rId16" Type="http://schemas.openxmlformats.org/officeDocument/2006/relationships/hyperlink" Target="https://rbi.org.in/Scripts/NotificationUser.aspx?Id=12468&amp;Mode=0" TargetMode="External"/><Relationship Id="rId11" Type="http://schemas.openxmlformats.org/officeDocument/2006/relationships/hyperlink" Target="https://www.rbi.org.in/Scripts/NotificationUser.aspx?Id=12418&amp;Mode=0" TargetMode="External"/><Relationship Id="rId32" Type="http://schemas.openxmlformats.org/officeDocument/2006/relationships/hyperlink" Target="https://rbi.org.in/Scripts/NotificationUser.aspx?Id=12475&amp;Mode=0" TargetMode="External"/><Relationship Id="rId37" Type="http://schemas.openxmlformats.org/officeDocument/2006/relationships/hyperlink" Target="https://rbi.org.in/Scripts/NotificationUser.aspx?Id=12484&amp;Mode=0" TargetMode="External"/><Relationship Id="rId53" Type="http://schemas.openxmlformats.org/officeDocument/2006/relationships/hyperlink" Target="https://rbi.org.in/Scripts/NotificationUser.aspx?Id=12499&amp;Mode=0" TargetMode="External"/><Relationship Id="rId58" Type="http://schemas.openxmlformats.org/officeDocument/2006/relationships/hyperlink" Target="https://rbi.org.in/Scripts/NotificationUser.aspx?Id=12503&amp;Mode=0" TargetMode="External"/><Relationship Id="rId74" Type="http://schemas.openxmlformats.org/officeDocument/2006/relationships/hyperlink" Target="https://rbi.org.in/Scripts/BS_ViewMasDirections.aspx?id=11959" TargetMode="External"/><Relationship Id="rId79" Type="http://schemas.openxmlformats.org/officeDocument/2006/relationships/hyperlink" Target="https://www.cgtmse.in/Default/ViewFile/?id=1693235486130_Circular%20no.%20229%20-%20UAM%20Mandatory.pdf&amp;path=Circular" TargetMode="External"/><Relationship Id="rId5" Type="http://schemas.openxmlformats.org/officeDocument/2006/relationships/hyperlink" Target="https://www.rbi.org.in/Scripts/BS_ViewMasCirculardetails.aspx?id=12278" TargetMode="External"/><Relationship Id="rId90" Type="http://schemas.openxmlformats.org/officeDocument/2006/relationships/fontTable" Target="fontTable.xml"/><Relationship Id="rId14" Type="http://schemas.openxmlformats.org/officeDocument/2006/relationships/hyperlink" Target="https://rbi.org.in/Scripts/NotificationUser.aspx?Id=12467&amp;Mode=0" TargetMode="External"/><Relationship Id="rId22" Type="http://schemas.openxmlformats.org/officeDocument/2006/relationships/hyperlink" Target="https://rbi.org.in/Scripts/NotificationUser.aspx?Id=12469&amp;Mode=0" TargetMode="External"/><Relationship Id="rId27" Type="http://schemas.openxmlformats.org/officeDocument/2006/relationships/hyperlink" Target="https://www.rbi.org.in/Scripts/BS_ViewMasCirculardetails.aspx?id=12281" TargetMode="External"/><Relationship Id="rId30" Type="http://schemas.openxmlformats.org/officeDocument/2006/relationships/hyperlink" Target="https://rbi.org.in/Scripts/NotificationUser.aspx?Id=12472&amp;Mode=0" TargetMode="External"/><Relationship Id="rId35" Type="http://schemas.openxmlformats.org/officeDocument/2006/relationships/hyperlink" Target="https://rbi.org.in/Scripts/NotificationUser.aspx?Id=12476&amp;Mode=0" TargetMode="External"/><Relationship Id="rId43" Type="http://schemas.openxmlformats.org/officeDocument/2006/relationships/hyperlink" Target="https://rbi.org.in/" TargetMode="External"/><Relationship Id="rId48" Type="http://schemas.openxmlformats.org/officeDocument/2006/relationships/hyperlink" Target="https://www.rbi.org.in/scripts/NotificationUser.aspx?Id=4970&amp;Mode=0" TargetMode="External"/><Relationship Id="rId56" Type="http://schemas.openxmlformats.org/officeDocument/2006/relationships/hyperlink" Target="https://rbi.org.in/Scripts/NotificationUser.aspx?Id=12500&amp;Mode=0" TargetMode="External"/><Relationship Id="rId64" Type="http://schemas.openxmlformats.org/officeDocument/2006/relationships/hyperlink" Target="https://rbi.org.in/Scripts/NotificationUser.aspx?Id=12514&amp;Mode=0" TargetMode="External"/><Relationship Id="rId69" Type="http://schemas.openxmlformats.org/officeDocument/2006/relationships/hyperlink" Target="https://rbi.org.in/Scripts/BS_ViewMasDirections.aspx?id=11959" TargetMode="External"/><Relationship Id="rId77" Type="http://schemas.openxmlformats.org/officeDocument/2006/relationships/image" Target="media/image1.png"/><Relationship Id="rId8" Type="http://schemas.openxmlformats.org/officeDocument/2006/relationships/hyperlink" Target="https://rbi.org.in/Scripts/BS_ViewMasDirections.aspx?id=12158" TargetMode="External"/><Relationship Id="rId51" Type="http://schemas.openxmlformats.org/officeDocument/2006/relationships/hyperlink" Target="https://rbi.org.in/Scripts/NotificationUser.aspx?Id=12499&amp;Mode=0" TargetMode="External"/><Relationship Id="rId72" Type="http://schemas.openxmlformats.org/officeDocument/2006/relationships/hyperlink" Target="https://rbi.org.in/Scripts/NotificationUser.aspx?Id=12515&amp;Mode=0" TargetMode="External"/><Relationship Id="rId80" Type="http://schemas.openxmlformats.org/officeDocument/2006/relationships/hyperlink" Target="https://msme.gov.in/sites/default/files/CreditLinkCapitalSubsidyScheme%282%29%282%29.pdf" TargetMode="External"/><Relationship Id="rId85" Type="http://schemas.openxmlformats.org/officeDocument/2006/relationships/hyperlink" Target="http://www.dcmsme.gov.in/" TargetMode="External"/><Relationship Id="rId3" Type="http://schemas.openxmlformats.org/officeDocument/2006/relationships/settings" Target="settings.xml"/><Relationship Id="rId12" Type="http://schemas.openxmlformats.org/officeDocument/2006/relationships/hyperlink" Target="https://rbi.org.in/Scripts/NotificationUser.aspx?Id=12465&amp;Mode=0" TargetMode="External"/><Relationship Id="rId17" Type="http://schemas.openxmlformats.org/officeDocument/2006/relationships/hyperlink" Target="https://rbi.org.in/Scripts/NotificationUser.aspx?Id=12468&amp;Mode=0" TargetMode="External"/><Relationship Id="rId25" Type="http://schemas.openxmlformats.org/officeDocument/2006/relationships/hyperlink" Target="https://rbi.org.in/Scripts/NotificationUser.aspx?Id=12471&amp;Mode=0" TargetMode="External"/><Relationship Id="rId33" Type="http://schemas.openxmlformats.org/officeDocument/2006/relationships/hyperlink" Target="https://rbi.org.in/Scripts/NotificationUser.aspx?Id=12475&amp;Mode=0" TargetMode="External"/><Relationship Id="rId38" Type="http://schemas.openxmlformats.org/officeDocument/2006/relationships/hyperlink" Target="https://www.rbi.org.in/Scripts/NotificationUser.aspx?Id=1145&amp;Mode=0" TargetMode="External"/><Relationship Id="rId46" Type="http://schemas.openxmlformats.org/officeDocument/2006/relationships/hyperlink" Target="https://www.rbi.org.in/Scripts/NotificationUser.aspx?Id=12416&amp;Mode=0" TargetMode="External"/><Relationship Id="rId59" Type="http://schemas.openxmlformats.org/officeDocument/2006/relationships/hyperlink" Target="https://www.rbi.org.in/Scripts/NotificationUser.aspx?Id=11580&amp;Mode=0" TargetMode="External"/><Relationship Id="rId67" Type="http://schemas.openxmlformats.org/officeDocument/2006/relationships/hyperlink" Target="https://rbi.org.in/Scripts/NotificationUser.aspx?Id=12514&amp;Mode=0" TargetMode="External"/><Relationship Id="rId20" Type="http://schemas.openxmlformats.org/officeDocument/2006/relationships/hyperlink" Target="https://rbi.org.in/" TargetMode="External"/><Relationship Id="rId41" Type="http://schemas.openxmlformats.org/officeDocument/2006/relationships/hyperlink" Target="https://rbi.org.in/Scripts/BS_ViewMasCirculardetails.aspx?id=12344" TargetMode="External"/><Relationship Id="rId54" Type="http://schemas.openxmlformats.org/officeDocument/2006/relationships/hyperlink" Target="https://rbi.org.in/Scripts/NotificationUser.aspx?Id=11951&amp;Mode=0" TargetMode="External"/><Relationship Id="rId62" Type="http://schemas.openxmlformats.org/officeDocument/2006/relationships/hyperlink" Target="https://rbi.org.in/Scripts/NotificationUser.aspx?Id=12513&amp;Mode=0" TargetMode="External"/><Relationship Id="rId70" Type="http://schemas.openxmlformats.org/officeDocument/2006/relationships/hyperlink" Target="https://rbi.org.in/Scripts/NotificationUser.aspx?Id=12515&amp;Mode=0" TargetMode="External"/><Relationship Id="rId75" Type="http://schemas.openxmlformats.org/officeDocument/2006/relationships/hyperlink" Target="https://www.rbi.org.in/Scripts/NotificationUser.aspx?Id=11879&amp;Mode=0" TargetMode="External"/><Relationship Id="rId83" Type="http://schemas.openxmlformats.org/officeDocument/2006/relationships/hyperlink" Target="https://zed.msme.gov.in/" TargetMode="External"/><Relationship Id="rId88" Type="http://schemas.openxmlformats.org/officeDocument/2006/relationships/hyperlink" Target="http://www.dcmsme.gov.in/"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BS_PressReleaseDisplay.aspx?prid=54531" TargetMode="External"/><Relationship Id="rId15" Type="http://schemas.openxmlformats.org/officeDocument/2006/relationships/hyperlink" Target="https://rbi.org.in/Scripts/NotificationUser.aspx?Id=12467&amp;Mode=0" TargetMode="External"/><Relationship Id="rId23" Type="http://schemas.openxmlformats.org/officeDocument/2006/relationships/hyperlink" Target="https://rbi.org.in/Scripts/NotificationUser.aspx?Id=12469&amp;Mode=0" TargetMode="External"/><Relationship Id="rId28" Type="http://schemas.openxmlformats.org/officeDocument/2006/relationships/hyperlink" Target="https://rbi.org.in/Scripts/NotificationUser.aspx?Id=12472&amp;Mode=0" TargetMode="External"/><Relationship Id="rId36" Type="http://schemas.openxmlformats.org/officeDocument/2006/relationships/hyperlink" Target="https://rbi.org.in/Scripts/NotificationUser.aspx?Id=12476&amp;Mode=0" TargetMode="External"/><Relationship Id="rId49" Type="http://schemas.openxmlformats.org/officeDocument/2006/relationships/hyperlink" Target="https://rbi.org.in/Scripts/NotificationUser.aspx?Id=12491&amp;Mode=0" TargetMode="External"/><Relationship Id="rId57" Type="http://schemas.openxmlformats.org/officeDocument/2006/relationships/hyperlink" Target="https://www.rbi.org.in/Scripts/NotificationUser.aspx?Id=12128&amp;Mode=0" TargetMode="External"/><Relationship Id="rId10" Type="http://schemas.openxmlformats.org/officeDocument/2006/relationships/hyperlink" Target="https://rbi.org.in/Scripts/NotificationUser.aspx?Id=12457&amp;Mode=0" TargetMode="External"/><Relationship Id="rId31" Type="http://schemas.openxmlformats.org/officeDocument/2006/relationships/hyperlink" Target="https://rbi.org.in/Scripts/BS_ViewMasCirculardetails.aspx?id=12282" TargetMode="External"/><Relationship Id="rId44" Type="http://schemas.openxmlformats.org/officeDocument/2006/relationships/hyperlink" Target="https://rbi.org.in/Scripts/BS_ViewMasCirculardetails.aspx?id=12488" TargetMode="External"/><Relationship Id="rId52" Type="http://schemas.openxmlformats.org/officeDocument/2006/relationships/hyperlink" Target="https://rbi.org.in/Scripts/NotificationUser.aspx?Id=12499&amp;Mode=0" TargetMode="External"/><Relationship Id="rId60" Type="http://schemas.openxmlformats.org/officeDocument/2006/relationships/hyperlink" Target="https://www.rbi.org.in/Scripts/BS_PressReleaseDisplay.aspx?prid=55815" TargetMode="External"/><Relationship Id="rId65" Type="http://schemas.openxmlformats.org/officeDocument/2006/relationships/hyperlink" Target="https://rbi.org.in/Scripts/NotificationUser.aspx?Id=12514&amp;Mode=0" TargetMode="External"/><Relationship Id="rId73" Type="http://schemas.openxmlformats.org/officeDocument/2006/relationships/hyperlink" Target="https://rbi.org.in/Scripts/NotificationUser.aspx?Id=12515&amp;Mode=0" TargetMode="External"/><Relationship Id="rId78" Type="http://schemas.openxmlformats.org/officeDocument/2006/relationships/hyperlink" Target="https://www.cgtmse.in/Default/ViewFile/?id=1680774247788_Circular%20No.%20220_Increase%20in%20ceiling%20of%20Coverage_REV.pdf&amp;path=Circular" TargetMode="External"/><Relationship Id="rId81" Type="http://schemas.openxmlformats.org/officeDocument/2006/relationships/hyperlink" Target="https://zed.msme.gov.in/" TargetMode="External"/><Relationship Id="rId86" Type="http://schemas.openxmlformats.org/officeDocument/2006/relationships/hyperlink" Target="http://www.dcmsme.gov.in/schemes/leanmanfucturing10.pdf" TargetMode="External"/><Relationship Id="rId4" Type="http://schemas.openxmlformats.org/officeDocument/2006/relationships/webSettings" Target="webSettings.xml"/><Relationship Id="rId9" Type="http://schemas.openxmlformats.org/officeDocument/2006/relationships/hyperlink" Target="https://rbi.org.in/Scripts/BS_ViewMasDirections.aspx?id=12158" TargetMode="External"/><Relationship Id="rId13" Type="http://schemas.openxmlformats.org/officeDocument/2006/relationships/hyperlink" Target="https://rbi.org.in/Scripts/NotificationUser.aspx?Id=12467&amp;Mode=0" TargetMode="External"/><Relationship Id="rId18" Type="http://schemas.openxmlformats.org/officeDocument/2006/relationships/hyperlink" Target="https://rbi.org.in/Scripts/NotificationUser.aspx?Id=12468&amp;Mode=0" TargetMode="External"/><Relationship Id="rId39" Type="http://schemas.openxmlformats.org/officeDocument/2006/relationships/hyperlink" Target="https://rbi.org.in/Scripts/NotificationUser.aspx?Id=12484&amp;Mode=0" TargetMode="External"/><Relationship Id="rId34" Type="http://schemas.openxmlformats.org/officeDocument/2006/relationships/hyperlink" Target="https://www.rbi.org.in/Scripts/BS_ViewMasCirculardetails.aspx?id=12280" TargetMode="External"/><Relationship Id="rId50" Type="http://schemas.openxmlformats.org/officeDocument/2006/relationships/hyperlink" Target="https://www.rbi.org.in/Scripts/BS_ViewMasCirculardetails.aspx?id=12283" TargetMode="External"/><Relationship Id="rId55" Type="http://schemas.openxmlformats.org/officeDocument/2006/relationships/hyperlink" Target="https://rbidocs.rbi.org.in/rdocs/content/pdfs/IndianGazzate20032023.pdf" TargetMode="External"/><Relationship Id="rId76" Type="http://schemas.openxmlformats.org/officeDocument/2006/relationships/hyperlink" Target="https://rbi.org.in/Scripts/NotificationUser.aspx?Id=12515&amp;Mode=0" TargetMode="External"/><Relationship Id="rId7" Type="http://schemas.openxmlformats.org/officeDocument/2006/relationships/hyperlink" Target="https://rbi.org.in/Scripts/NotificationUser.aspx?Id=12435&amp;Mode=0" TargetMode="External"/><Relationship Id="rId71" Type="http://schemas.openxmlformats.org/officeDocument/2006/relationships/hyperlink" Target="https://rbi.org.in/Scripts/NotificationUser.aspx?Id=12515&amp;Mode=0" TargetMode="External"/><Relationship Id="rId2" Type="http://schemas.openxmlformats.org/officeDocument/2006/relationships/styles" Target="styles.xml"/><Relationship Id="rId29" Type="http://schemas.openxmlformats.org/officeDocument/2006/relationships/hyperlink" Target="https://rbi.org.in/Scripts/NotificationUser.aspx?Id=12472&amp;Mode=0" TargetMode="External"/><Relationship Id="rId24" Type="http://schemas.openxmlformats.org/officeDocument/2006/relationships/hyperlink" Target="https://www.rbi.org.in/Scripts/BS_ViewMasCirculardetails.aspx?id=12276" TargetMode="External"/><Relationship Id="rId40" Type="http://schemas.openxmlformats.org/officeDocument/2006/relationships/hyperlink" Target="https://rbi.org.in/Scripts/NotificationUser.aspx?Id=12484&amp;Mode=0" TargetMode="External"/><Relationship Id="rId45" Type="http://schemas.openxmlformats.org/officeDocument/2006/relationships/hyperlink" Target="https://rbi.org.in/Scripts/BS_ViewMasCirculardetails.aspx?id=12488" TargetMode="External"/><Relationship Id="rId66" Type="http://schemas.openxmlformats.org/officeDocument/2006/relationships/hyperlink" Target="https://rbi.org.in/Scripts/NotificationUser.aspx?Id=12514&amp;Mode=0" TargetMode="External"/><Relationship Id="rId87" Type="http://schemas.openxmlformats.org/officeDocument/2006/relationships/hyperlink" Target="https://innovative.msme.gov.in/" TargetMode="External"/><Relationship Id="rId61" Type="http://schemas.openxmlformats.org/officeDocument/2006/relationships/hyperlink" Target="https://rbi.org.in/Scripts/NotificationUser.aspx?Id=12513&amp;Mode=0" TargetMode="External"/><Relationship Id="rId82" Type="http://schemas.openxmlformats.org/officeDocument/2006/relationships/hyperlink" Target="https://zed.msme.gov.in/" TargetMode="External"/><Relationship Id="rId19" Type="http://schemas.openxmlformats.org/officeDocument/2006/relationships/hyperlink" Target="https://www.rbi.org.in/Scripts/BS_ViewMasCirculardetails.aspx?id=12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7218</Words>
  <Characters>41147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Rajdeep Bose</cp:lastModifiedBy>
  <cp:revision>5</cp:revision>
  <dcterms:created xsi:type="dcterms:W3CDTF">2023-09-26T09:31:00Z</dcterms:created>
  <dcterms:modified xsi:type="dcterms:W3CDTF">2023-09-30T10:24:00Z</dcterms:modified>
</cp:coreProperties>
</file>