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394F30">
      <w:pPr>
        <w:rPr>
          <w:b/>
          <w:color w:val="2E74B5" w:themeColor="accent1" w:themeShade="BF"/>
          <w:sz w:val="24"/>
        </w:rPr>
      </w:pPr>
      <w:bookmarkStart w:id="0" w:name="_GoBack"/>
      <w:bookmarkEnd w:id="0"/>
      <w:r>
        <w:rPr>
          <w:b/>
          <w:color w:val="2E74B5" w:themeColor="accent1" w:themeShade="BF"/>
          <w:sz w:val="24"/>
        </w:rPr>
        <w:t>BCBF</w:t>
      </w:r>
    </w:p>
    <w:tbl>
      <w:tblPr>
        <w:tblW w:w="9895" w:type="dxa"/>
        <w:tblLook w:val="04A0" w:firstRow="1" w:lastRow="0" w:firstColumn="1" w:lastColumn="0" w:noHBand="0" w:noVBand="1"/>
      </w:tblPr>
      <w:tblGrid>
        <w:gridCol w:w="895"/>
        <w:gridCol w:w="9000"/>
      </w:tblGrid>
      <w:tr w:rsidR="00394F30" w:rsidRPr="0050658A" w:rsidTr="00424F88">
        <w:trPr>
          <w:trHeight w:val="323"/>
        </w:trPr>
        <w:tc>
          <w:tcPr>
            <w:tcW w:w="895" w:type="dxa"/>
            <w:tcBorders>
              <w:top w:val="single" w:sz="4" w:space="0" w:color="auto"/>
              <w:left w:val="single" w:sz="4" w:space="0" w:color="auto"/>
              <w:bottom w:val="single" w:sz="4" w:space="0" w:color="auto"/>
              <w:right w:val="single" w:sz="4" w:space="0" w:color="auto"/>
            </w:tcBorders>
          </w:tcPr>
          <w:p w:rsidR="00394F30" w:rsidRPr="0050658A" w:rsidRDefault="00394F30" w:rsidP="00424F88">
            <w:pPr>
              <w:spacing w:after="0" w:line="240" w:lineRule="auto"/>
              <w:jc w:val="center"/>
              <w:rPr>
                <w:rFonts w:ascii="Calibri" w:eastAsia="Times New Roman" w:hAnsi="Calibri" w:cs="Calibri"/>
                <w:b/>
                <w:bCs/>
                <w:color w:val="000000"/>
                <w:szCs w:val="20"/>
              </w:rPr>
            </w:pPr>
            <w:r w:rsidRPr="0050658A">
              <w:rPr>
                <w:rFonts w:ascii="Calibri" w:eastAsia="Times New Roman" w:hAnsi="Calibri" w:cs="Calibri"/>
                <w:b/>
                <w:bCs/>
                <w:color w:val="000000"/>
                <w:szCs w:val="20"/>
              </w:rPr>
              <w:t>Sr.</w:t>
            </w:r>
            <w:r w:rsidR="00424F88">
              <w:rPr>
                <w:rFonts w:ascii="Calibri" w:eastAsia="Times New Roman" w:hAnsi="Calibri" w:cs="Calibri"/>
                <w:b/>
                <w:bCs/>
                <w:color w:val="000000"/>
                <w:szCs w:val="20"/>
              </w:rPr>
              <w:t xml:space="preserve"> </w:t>
            </w:r>
            <w:r w:rsidRPr="0050658A">
              <w:rPr>
                <w:rFonts w:ascii="Calibri" w:eastAsia="Times New Roman" w:hAnsi="Calibri" w:cs="Calibri"/>
                <w:b/>
                <w:bCs/>
                <w:color w:val="000000"/>
                <w:szCs w:val="20"/>
              </w:rPr>
              <w:t>No.</w:t>
            </w:r>
          </w:p>
        </w:tc>
        <w:tc>
          <w:tcPr>
            <w:tcW w:w="9000" w:type="dxa"/>
            <w:tcBorders>
              <w:top w:val="single" w:sz="4" w:space="0" w:color="auto"/>
              <w:left w:val="single" w:sz="4" w:space="0" w:color="auto"/>
              <w:bottom w:val="single" w:sz="4" w:space="0" w:color="auto"/>
              <w:right w:val="single" w:sz="4" w:space="0" w:color="auto"/>
            </w:tcBorders>
            <w:shd w:val="clear" w:color="auto" w:fill="auto"/>
            <w:hideMark/>
          </w:tcPr>
          <w:p w:rsidR="00394F30" w:rsidRPr="00394F30" w:rsidRDefault="00394F30" w:rsidP="00424F88">
            <w:pPr>
              <w:spacing w:after="0" w:line="240" w:lineRule="auto"/>
              <w:jc w:val="center"/>
              <w:rPr>
                <w:rFonts w:ascii="Calibri" w:eastAsia="Times New Roman" w:hAnsi="Calibri" w:cs="Calibri"/>
                <w:b/>
                <w:bCs/>
                <w:color w:val="000000"/>
                <w:szCs w:val="20"/>
              </w:rPr>
            </w:pPr>
            <w:r w:rsidRPr="00394F30">
              <w:rPr>
                <w:rFonts w:ascii="Calibri" w:eastAsia="Times New Roman" w:hAnsi="Calibri" w:cs="Calibri"/>
                <w:b/>
                <w:bCs/>
                <w:color w:val="000000"/>
                <w:szCs w:val="20"/>
              </w:rPr>
              <w:t>RBI Notifications</w:t>
            </w:r>
          </w:p>
        </w:tc>
      </w:tr>
      <w:tr w:rsidR="00394F30" w:rsidRPr="0050658A" w:rsidTr="00424F88">
        <w:trPr>
          <w:trHeight w:val="260"/>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1</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New Definition of Micro, Small and Medium Enterprises</w:t>
            </w:r>
          </w:p>
        </w:tc>
      </w:tr>
      <w:tr w:rsidR="00394F30" w:rsidRPr="0050658A" w:rsidTr="00424F88">
        <w:trPr>
          <w:trHeight w:val="332"/>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2</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proofErr w:type="spellStart"/>
            <w:r w:rsidRPr="00394F30">
              <w:rPr>
                <w:rFonts w:ascii="Calibri" w:eastAsia="Times New Roman" w:hAnsi="Calibri" w:cs="Calibri"/>
                <w:color w:val="000000"/>
                <w:szCs w:val="20"/>
              </w:rPr>
              <w:t>Deendayal</w:t>
            </w:r>
            <w:proofErr w:type="spellEnd"/>
            <w:r w:rsidRPr="00394F30">
              <w:rPr>
                <w:rFonts w:ascii="Calibri" w:eastAsia="Times New Roman" w:hAnsi="Calibri" w:cs="Calibri"/>
                <w:color w:val="000000"/>
                <w:szCs w:val="20"/>
              </w:rPr>
              <w:t xml:space="preserve"> </w:t>
            </w:r>
            <w:proofErr w:type="spellStart"/>
            <w:r w:rsidRPr="00394F30">
              <w:rPr>
                <w:rFonts w:ascii="Calibri" w:eastAsia="Times New Roman" w:hAnsi="Calibri" w:cs="Calibri"/>
                <w:color w:val="000000"/>
                <w:szCs w:val="20"/>
              </w:rPr>
              <w:t>Antyodaya</w:t>
            </w:r>
            <w:proofErr w:type="spellEnd"/>
            <w:r w:rsidRPr="00394F30">
              <w:rPr>
                <w:rFonts w:ascii="Calibri" w:eastAsia="Times New Roman" w:hAnsi="Calibri" w:cs="Calibri"/>
                <w:color w:val="000000"/>
                <w:szCs w:val="20"/>
              </w:rPr>
              <w:t xml:space="preserve"> </w:t>
            </w:r>
            <w:proofErr w:type="spellStart"/>
            <w:r w:rsidRPr="00394F30">
              <w:rPr>
                <w:rFonts w:ascii="Calibri" w:eastAsia="Times New Roman" w:hAnsi="Calibri" w:cs="Calibri"/>
                <w:color w:val="000000"/>
                <w:szCs w:val="20"/>
              </w:rPr>
              <w:t>Yojana</w:t>
            </w:r>
            <w:proofErr w:type="spellEnd"/>
            <w:r w:rsidRPr="00394F30">
              <w:rPr>
                <w:rFonts w:ascii="Calibri" w:eastAsia="Times New Roman" w:hAnsi="Calibri" w:cs="Calibri"/>
                <w:color w:val="000000"/>
                <w:szCs w:val="20"/>
              </w:rPr>
              <w:t xml:space="preserve"> – National Urban Livelihoods Mission (DAY-NULM)</w:t>
            </w:r>
          </w:p>
        </w:tc>
      </w:tr>
      <w:tr w:rsidR="00394F30" w:rsidRPr="0050658A" w:rsidTr="00424F88">
        <w:trPr>
          <w:trHeight w:val="255"/>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3</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 xml:space="preserve">Master Circular on SHG-Bank Linkage </w:t>
            </w:r>
            <w:proofErr w:type="spellStart"/>
            <w:r w:rsidRPr="00394F30">
              <w:rPr>
                <w:rFonts w:ascii="Calibri" w:eastAsia="Times New Roman" w:hAnsi="Calibri" w:cs="Calibri"/>
                <w:color w:val="000000"/>
                <w:szCs w:val="20"/>
              </w:rPr>
              <w:t>Programme</w:t>
            </w:r>
            <w:proofErr w:type="spellEnd"/>
          </w:p>
        </w:tc>
      </w:tr>
      <w:tr w:rsidR="00394F30" w:rsidRPr="0050658A" w:rsidTr="00424F88">
        <w:trPr>
          <w:trHeight w:val="260"/>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4</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 xml:space="preserve">Master Circular – </w:t>
            </w:r>
            <w:proofErr w:type="spellStart"/>
            <w:r w:rsidRPr="00394F30">
              <w:rPr>
                <w:rFonts w:ascii="Calibri" w:eastAsia="Times New Roman" w:hAnsi="Calibri" w:cs="Calibri"/>
                <w:color w:val="000000"/>
                <w:szCs w:val="20"/>
              </w:rPr>
              <w:t>Deendayal</w:t>
            </w:r>
            <w:proofErr w:type="spellEnd"/>
            <w:r w:rsidRPr="00394F30">
              <w:rPr>
                <w:rFonts w:ascii="Calibri" w:eastAsia="Times New Roman" w:hAnsi="Calibri" w:cs="Calibri"/>
                <w:color w:val="000000"/>
                <w:szCs w:val="20"/>
              </w:rPr>
              <w:t xml:space="preserve"> </w:t>
            </w:r>
            <w:proofErr w:type="spellStart"/>
            <w:r w:rsidRPr="00394F30">
              <w:rPr>
                <w:rFonts w:ascii="Calibri" w:eastAsia="Times New Roman" w:hAnsi="Calibri" w:cs="Calibri"/>
                <w:color w:val="000000"/>
                <w:szCs w:val="20"/>
              </w:rPr>
              <w:t>Antyodaya</w:t>
            </w:r>
            <w:proofErr w:type="spellEnd"/>
            <w:r w:rsidRPr="00394F30">
              <w:rPr>
                <w:rFonts w:ascii="Calibri" w:eastAsia="Times New Roman" w:hAnsi="Calibri" w:cs="Calibri"/>
                <w:color w:val="000000"/>
                <w:szCs w:val="20"/>
              </w:rPr>
              <w:t xml:space="preserve"> </w:t>
            </w:r>
            <w:proofErr w:type="spellStart"/>
            <w:r w:rsidRPr="00394F30">
              <w:rPr>
                <w:rFonts w:ascii="Calibri" w:eastAsia="Times New Roman" w:hAnsi="Calibri" w:cs="Calibri"/>
                <w:color w:val="000000"/>
                <w:szCs w:val="20"/>
              </w:rPr>
              <w:t>Yojana</w:t>
            </w:r>
            <w:proofErr w:type="spellEnd"/>
            <w:r w:rsidRPr="00394F30">
              <w:rPr>
                <w:rFonts w:ascii="Calibri" w:eastAsia="Times New Roman" w:hAnsi="Calibri" w:cs="Calibri"/>
                <w:color w:val="000000"/>
                <w:szCs w:val="20"/>
              </w:rPr>
              <w:t xml:space="preserve"> - National Rural Livelihoods Mission (DAY-NRLM)</w:t>
            </w:r>
          </w:p>
        </w:tc>
      </w:tr>
      <w:tr w:rsidR="00394F30" w:rsidRPr="0050658A" w:rsidTr="00424F88">
        <w:trPr>
          <w:trHeight w:val="332"/>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5</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Amendment to Master Direction (MD) on KYC – KYC norms for Self Help Groups (SHGs)</w:t>
            </w:r>
          </w:p>
        </w:tc>
      </w:tr>
      <w:tr w:rsidR="00394F30" w:rsidRPr="0050658A" w:rsidTr="00424F88">
        <w:trPr>
          <w:trHeight w:val="350"/>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6</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 xml:space="preserve">Extension of </w:t>
            </w:r>
            <w:proofErr w:type="spellStart"/>
            <w:r w:rsidRPr="00394F30">
              <w:rPr>
                <w:rFonts w:ascii="Calibri" w:eastAsia="Times New Roman" w:hAnsi="Calibri" w:cs="Calibri"/>
                <w:color w:val="000000"/>
                <w:szCs w:val="20"/>
              </w:rPr>
              <w:t>Cheque</w:t>
            </w:r>
            <w:proofErr w:type="spellEnd"/>
            <w:r w:rsidRPr="00394F30">
              <w:rPr>
                <w:rFonts w:ascii="Calibri" w:eastAsia="Times New Roman" w:hAnsi="Calibri" w:cs="Calibri"/>
                <w:color w:val="000000"/>
                <w:szCs w:val="20"/>
              </w:rPr>
              <w:t xml:space="preserve"> Truncation System (CTS) across all bank branches in the country</w:t>
            </w:r>
          </w:p>
        </w:tc>
      </w:tr>
      <w:tr w:rsidR="00394F30" w:rsidRPr="0050658A" w:rsidTr="00424F88">
        <w:trPr>
          <w:trHeight w:val="255"/>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7</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Maintenance of Cash Reserve Ratio (CRR)</w:t>
            </w:r>
          </w:p>
        </w:tc>
      </w:tr>
      <w:tr w:rsidR="00394F30" w:rsidRPr="0050658A" w:rsidTr="00424F88">
        <w:trPr>
          <w:trHeight w:val="350"/>
        </w:trPr>
        <w:tc>
          <w:tcPr>
            <w:tcW w:w="895" w:type="dxa"/>
            <w:tcBorders>
              <w:top w:val="nil"/>
              <w:left w:val="single" w:sz="4" w:space="0" w:color="auto"/>
              <w:bottom w:val="single" w:sz="4" w:space="0" w:color="auto"/>
              <w:right w:val="single" w:sz="4" w:space="0" w:color="auto"/>
            </w:tcBorders>
          </w:tcPr>
          <w:p w:rsidR="00394F30" w:rsidRPr="0050658A" w:rsidRDefault="00394F30" w:rsidP="00394F30">
            <w:pPr>
              <w:spacing w:after="0" w:line="240" w:lineRule="auto"/>
              <w:rPr>
                <w:rFonts w:ascii="Calibri" w:eastAsia="Times New Roman" w:hAnsi="Calibri" w:cs="Calibri"/>
                <w:color w:val="000000"/>
                <w:szCs w:val="20"/>
              </w:rPr>
            </w:pPr>
            <w:r w:rsidRPr="0050658A">
              <w:rPr>
                <w:rFonts w:ascii="Calibri" w:eastAsia="Times New Roman" w:hAnsi="Calibri" w:cs="Calibri"/>
                <w:color w:val="000000"/>
                <w:szCs w:val="20"/>
              </w:rPr>
              <w:t>8</w:t>
            </w:r>
          </w:p>
        </w:tc>
        <w:tc>
          <w:tcPr>
            <w:tcW w:w="9000" w:type="dxa"/>
            <w:tcBorders>
              <w:top w:val="nil"/>
              <w:left w:val="single" w:sz="4" w:space="0" w:color="auto"/>
              <w:bottom w:val="single" w:sz="4" w:space="0" w:color="auto"/>
              <w:right w:val="single" w:sz="4" w:space="0" w:color="auto"/>
            </w:tcBorders>
            <w:shd w:val="clear" w:color="auto" w:fill="auto"/>
            <w:hideMark/>
          </w:tcPr>
          <w:p w:rsidR="00394F30" w:rsidRPr="00394F30" w:rsidRDefault="00394F30" w:rsidP="00394F30">
            <w:pPr>
              <w:spacing w:after="0" w:line="240" w:lineRule="auto"/>
              <w:rPr>
                <w:rFonts w:ascii="Calibri" w:eastAsia="Times New Roman" w:hAnsi="Calibri" w:cs="Calibri"/>
                <w:color w:val="000000"/>
                <w:szCs w:val="20"/>
              </w:rPr>
            </w:pPr>
            <w:r w:rsidRPr="00394F30">
              <w:rPr>
                <w:rFonts w:ascii="Calibri" w:eastAsia="Times New Roman" w:hAnsi="Calibri" w:cs="Calibri"/>
                <w:color w:val="000000"/>
                <w:szCs w:val="20"/>
              </w:rPr>
              <w:t>Strengthening of Grievance Redress Mechanism in Banks</w:t>
            </w:r>
          </w:p>
        </w:tc>
      </w:tr>
    </w:tbl>
    <w:p w:rsidR="00174F55" w:rsidRDefault="00174F55">
      <w:pPr>
        <w:rPr>
          <w:b/>
          <w:color w:val="2E74B5" w:themeColor="accent1" w:themeShade="BF"/>
        </w:rPr>
      </w:pPr>
    </w:p>
    <w:p w:rsidR="00681432" w:rsidRPr="00C760EA" w:rsidRDefault="00681432" w:rsidP="00681432">
      <w:pPr>
        <w:pStyle w:val="NormalWeb"/>
        <w:shd w:val="clear" w:color="auto" w:fill="FFFFFF"/>
        <w:spacing w:before="0" w:beforeAutospacing="0" w:after="0" w:afterAutospacing="0"/>
        <w:jc w:val="both"/>
        <w:rPr>
          <w:b/>
          <w:bCs/>
          <w:color w:val="000000"/>
        </w:rPr>
      </w:pPr>
      <w:r>
        <w:rPr>
          <w:b/>
          <w:bCs/>
          <w:color w:val="000000"/>
        </w:rPr>
        <w:t xml:space="preserve">1. </w:t>
      </w:r>
      <w:r w:rsidRPr="00C760EA">
        <w:rPr>
          <w:b/>
          <w:bCs/>
          <w:color w:val="000000"/>
        </w:rPr>
        <w:t>New Definition of Micro, Small and Medium Enterprises</w:t>
      </w:r>
    </w:p>
    <w:p w:rsidR="00681432" w:rsidRDefault="00681432" w:rsidP="00681432">
      <w:pPr>
        <w:pStyle w:val="NormalWeb"/>
        <w:shd w:val="clear" w:color="auto" w:fill="FFFFFF"/>
        <w:spacing w:before="0" w:beforeAutospacing="0" w:after="0" w:afterAutospacing="0"/>
        <w:jc w:val="both"/>
        <w:rPr>
          <w:color w:val="000000"/>
        </w:rPr>
      </w:pPr>
    </w:p>
    <w:p w:rsidR="00681432" w:rsidRPr="00544DBA" w:rsidRDefault="00681432" w:rsidP="00681432">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681432" w:rsidRDefault="00681432" w:rsidP="00681432">
      <w:pPr>
        <w:pStyle w:val="NormalWeb"/>
        <w:shd w:val="clear" w:color="auto" w:fill="FFFFFF"/>
        <w:spacing w:before="0" w:beforeAutospacing="0" w:after="0" w:afterAutospacing="0"/>
        <w:jc w:val="both"/>
        <w:rPr>
          <w:i/>
          <w:color w:val="000000"/>
        </w:rPr>
      </w:pPr>
    </w:p>
    <w:p w:rsidR="00681432" w:rsidRPr="00544DBA" w:rsidRDefault="00681432" w:rsidP="00681432">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681432" w:rsidRDefault="00681432" w:rsidP="00681432">
      <w:pPr>
        <w:pStyle w:val="NormalWeb"/>
        <w:shd w:val="clear" w:color="auto" w:fill="FFFFFF"/>
        <w:spacing w:before="0" w:beforeAutospacing="0" w:after="0" w:afterAutospacing="0"/>
        <w:jc w:val="both"/>
        <w:rPr>
          <w:color w:val="000000"/>
        </w:rPr>
      </w:pPr>
    </w:p>
    <w:p w:rsidR="00681432" w:rsidRPr="00C760EA" w:rsidRDefault="00681432" w:rsidP="00681432">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681432" w:rsidRDefault="00681432" w:rsidP="00681432">
      <w:pPr>
        <w:pStyle w:val="NormalWeb"/>
        <w:shd w:val="clear" w:color="auto" w:fill="FFFFFF"/>
        <w:spacing w:before="0" w:beforeAutospacing="0" w:after="0" w:afterAutospacing="0"/>
        <w:jc w:val="both"/>
        <w:rPr>
          <w:color w:val="000000"/>
        </w:rPr>
      </w:pPr>
    </w:p>
    <w:p w:rsidR="00681432" w:rsidRPr="00C760EA" w:rsidRDefault="00681432" w:rsidP="00681432">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681432" w:rsidRDefault="00681432" w:rsidP="00681432">
      <w:pPr>
        <w:pStyle w:val="NormalWeb"/>
        <w:shd w:val="clear" w:color="auto" w:fill="FFFFFF"/>
        <w:spacing w:before="0" w:beforeAutospacing="0" w:after="0" w:afterAutospacing="0"/>
        <w:jc w:val="both"/>
        <w:rPr>
          <w:color w:val="000000"/>
        </w:rPr>
      </w:pPr>
    </w:p>
    <w:p w:rsidR="00681432" w:rsidRPr="00C760EA" w:rsidRDefault="00681432" w:rsidP="00681432">
      <w:pPr>
        <w:pStyle w:val="NormalWeb"/>
        <w:shd w:val="clear" w:color="auto" w:fill="FFFFFF"/>
        <w:spacing w:before="0" w:beforeAutospacing="0" w:after="0" w:afterAutospacing="0"/>
        <w:jc w:val="both"/>
        <w:rPr>
          <w:color w:val="000000"/>
        </w:rPr>
      </w:pPr>
      <w:r w:rsidRPr="00C760EA">
        <w:rPr>
          <w:color w:val="000000"/>
        </w:rPr>
        <w:t>3. In view of the above amendment, paragraph 2.2 (</w:t>
      </w:r>
      <w:proofErr w:type="spellStart"/>
      <w:r w:rsidRPr="00C760EA">
        <w:rPr>
          <w:color w:val="000000"/>
        </w:rPr>
        <w:t>i</w:t>
      </w:r>
      <w:proofErr w:type="spellEnd"/>
      <w:r w:rsidRPr="00C760EA">
        <w:rPr>
          <w:color w:val="000000"/>
        </w:rPr>
        <w:t>) of </w:t>
      </w:r>
      <w:hyperlink r:id="rId8" w:tgtFrame="_blank" w:history="1">
        <w:r w:rsidRPr="00C760EA">
          <w:rPr>
            <w:rStyle w:val="Hyperlink"/>
          </w:rPr>
          <w:t>RBI circular dated August 21, 2020</w:t>
        </w:r>
      </w:hyperlink>
      <w:r w:rsidRPr="00C760EA">
        <w:rPr>
          <w:color w:val="000000"/>
        </w:rPr>
        <w:t> stands modified as under:</w:t>
      </w:r>
    </w:p>
    <w:p w:rsidR="00681432" w:rsidRPr="00C760EA" w:rsidRDefault="00681432" w:rsidP="00681432">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681432" w:rsidRDefault="00681432" w:rsidP="00681432">
      <w:pPr>
        <w:pStyle w:val="NormalWeb"/>
        <w:pBdr>
          <w:bottom w:val="single" w:sz="12" w:space="1" w:color="auto"/>
        </w:pBdr>
        <w:shd w:val="clear" w:color="auto" w:fill="FFFFFF"/>
        <w:spacing w:before="0" w:beforeAutospacing="0" w:after="0" w:afterAutospacing="0"/>
        <w:jc w:val="both"/>
        <w:rPr>
          <w:color w:val="000000"/>
        </w:rPr>
      </w:pPr>
    </w:p>
    <w:p w:rsidR="00681432" w:rsidRDefault="00681432" w:rsidP="00681432">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681432" w:rsidRPr="00C760EA" w:rsidRDefault="00681432" w:rsidP="00681432">
      <w:pPr>
        <w:pStyle w:val="NormalWeb"/>
        <w:pBdr>
          <w:bottom w:val="single" w:sz="12" w:space="1" w:color="auto"/>
        </w:pBdr>
        <w:shd w:val="clear" w:color="auto" w:fill="FFFFFF"/>
        <w:spacing w:before="0" w:beforeAutospacing="0" w:after="0" w:afterAutospacing="0"/>
        <w:jc w:val="both"/>
        <w:rPr>
          <w:color w:val="000000"/>
        </w:rPr>
      </w:pPr>
    </w:p>
    <w:p w:rsidR="00681432" w:rsidRPr="00C760EA" w:rsidRDefault="00681432" w:rsidP="00681432">
      <w:pPr>
        <w:pStyle w:val="NormalWeb"/>
        <w:shd w:val="clear" w:color="auto" w:fill="FFFFFF"/>
        <w:spacing w:before="0" w:beforeAutospacing="0" w:after="0" w:afterAutospacing="0"/>
        <w:jc w:val="both"/>
        <w:rPr>
          <w:b/>
          <w:bCs/>
          <w:color w:val="000000"/>
        </w:rPr>
      </w:pPr>
    </w:p>
    <w:p w:rsidR="00771F97" w:rsidRPr="00BE0E8C" w:rsidRDefault="00771F97" w:rsidP="00771F97">
      <w:pPr>
        <w:pStyle w:val="NormalWeb"/>
        <w:shd w:val="clear" w:color="auto" w:fill="FFFFFF"/>
        <w:spacing w:before="0" w:beforeAutospacing="0" w:after="0" w:afterAutospacing="0"/>
        <w:jc w:val="both"/>
        <w:rPr>
          <w:b/>
          <w:bCs/>
          <w:color w:val="000000"/>
        </w:rPr>
      </w:pPr>
      <w:r>
        <w:rPr>
          <w:b/>
          <w:bCs/>
          <w:color w:val="000000"/>
        </w:rPr>
        <w:t xml:space="preserve">2.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Urban Livelihoods Mission (DAY-NULM)</w:t>
      </w:r>
    </w:p>
    <w:p w:rsidR="00771F97" w:rsidRPr="00BE0E8C" w:rsidRDefault="00771F97" w:rsidP="00771F97">
      <w:pPr>
        <w:pStyle w:val="NormalWeb"/>
        <w:shd w:val="clear" w:color="auto" w:fill="FFFFFF"/>
        <w:spacing w:before="0" w:beforeAutospacing="0" w:after="0" w:afterAutospacing="0"/>
        <w:jc w:val="both"/>
        <w:rPr>
          <w:b/>
          <w:bCs/>
          <w:color w:val="000000"/>
        </w:rPr>
      </w:pPr>
    </w:p>
    <w:p w:rsidR="00771F97" w:rsidRPr="00BE0E8C" w:rsidRDefault="00771F97" w:rsidP="00771F9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FIDD.GSSD.CO.BC.No.03/09.16.03/2021-22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771F97" w:rsidRPr="00BE0E8C" w:rsidRDefault="00771F97" w:rsidP="00771F97">
      <w:pPr>
        <w:spacing w:after="0" w:line="240" w:lineRule="auto"/>
        <w:jc w:val="both"/>
        <w:rPr>
          <w:rFonts w:ascii="Times New Roman" w:hAnsi="Times New Roman" w:cs="Times New Roman"/>
          <w:i/>
          <w:color w:val="000000"/>
          <w:sz w:val="24"/>
          <w:szCs w:val="24"/>
          <w:shd w:val="clear" w:color="auto" w:fill="FFFFFF"/>
        </w:rPr>
      </w:pPr>
    </w:p>
    <w:p w:rsidR="00771F97" w:rsidRPr="00BE0E8C" w:rsidRDefault="00771F97" w:rsidP="00771F9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771F97" w:rsidRPr="00BE0E8C" w:rsidRDefault="00771F97" w:rsidP="00771F97">
      <w:pPr>
        <w:spacing w:after="0" w:line="240" w:lineRule="auto"/>
        <w:jc w:val="both"/>
        <w:rPr>
          <w:rFonts w:ascii="Times New Roman" w:hAnsi="Times New Roman" w:cs="Times New Roman"/>
          <w:color w:val="000000"/>
          <w:sz w:val="24"/>
          <w:szCs w:val="24"/>
          <w:shd w:val="clear" w:color="auto" w:fill="FFFFFF"/>
        </w:rPr>
      </w:pPr>
    </w:p>
    <w:p w:rsidR="00771F97" w:rsidRPr="00BE0E8C" w:rsidRDefault="00771F97" w:rsidP="00771F9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lastRenderedPageBreak/>
        <w:t>Please refer to the Master Circular on DAY-NULM </w:t>
      </w:r>
      <w:hyperlink r:id="rId9"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771F97" w:rsidRPr="00BE0E8C" w:rsidRDefault="00771F97" w:rsidP="00771F97">
      <w:pPr>
        <w:pStyle w:val="head"/>
        <w:shd w:val="clear" w:color="auto" w:fill="FFFFFF"/>
        <w:spacing w:before="0" w:beforeAutospacing="0" w:after="0" w:afterAutospacing="0"/>
        <w:jc w:val="both"/>
        <w:rPr>
          <w:b/>
          <w:bCs/>
          <w:color w:val="000000"/>
          <w:u w:val="single"/>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w:t>
      </w:r>
      <w:proofErr w:type="spellStart"/>
      <w:r w:rsidRPr="00BE0E8C">
        <w:rPr>
          <w:color w:val="000000"/>
        </w:rPr>
        <w:t>MoHUA</w:t>
      </w:r>
      <w:proofErr w:type="spellEnd"/>
      <w:r w:rsidRPr="00BE0E8C">
        <w:rPr>
          <w:color w:val="000000"/>
        </w:rPr>
        <w:t xml:space="preserve">), restructured the existing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and launched the National Urban Livelihoods Mission (NULM) in 2013. NULM has been under implementation </w:t>
      </w:r>
      <w:proofErr w:type="spellStart"/>
      <w:r w:rsidRPr="00BE0E8C">
        <w:rPr>
          <w:color w:val="000000"/>
        </w:rPr>
        <w:t>w.e.f</w:t>
      </w:r>
      <w:proofErr w:type="spellEnd"/>
      <w:r w:rsidRPr="00BE0E8C">
        <w:rPr>
          <w:color w:val="000000"/>
        </w:rPr>
        <w:t>. September 24, 2013 in all district headquarters (irrespective of population) and all the cities with population of 1 lakh or more.</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No.K-14011/2/2012-UPA/FTS-5196 dated February 19, 2016 had enhanced the scope of National Urban Livelihoods Mission. The Mission with enhanced scope was renamed as </w:t>
      </w:r>
      <w:r w:rsidRPr="00BE0E8C">
        <w:rPr>
          <w:rStyle w:val="head1"/>
          <w:b/>
          <w:bCs/>
          <w:color w:val="000000"/>
        </w:rPr>
        <w:t>“</w:t>
      </w:r>
      <w:proofErr w:type="spellStart"/>
      <w:r w:rsidRPr="00BE0E8C">
        <w:rPr>
          <w:rStyle w:val="head1"/>
          <w:b/>
          <w:bCs/>
          <w:color w:val="000000"/>
        </w:rPr>
        <w:t>Deendayal</w:t>
      </w:r>
      <w:proofErr w:type="spellEnd"/>
      <w:r w:rsidRPr="00BE0E8C">
        <w:rPr>
          <w:rStyle w:val="head1"/>
          <w:b/>
          <w:bCs/>
          <w:color w:val="000000"/>
        </w:rPr>
        <w:t xml:space="preserve"> </w:t>
      </w:r>
      <w:proofErr w:type="spellStart"/>
      <w:r w:rsidRPr="00BE0E8C">
        <w:rPr>
          <w:rStyle w:val="head1"/>
          <w:b/>
          <w:bCs/>
          <w:color w:val="000000"/>
        </w:rPr>
        <w:t>Antyodaya</w:t>
      </w:r>
      <w:proofErr w:type="spellEnd"/>
      <w:r w:rsidRPr="00BE0E8C">
        <w:rPr>
          <w:rStyle w:val="head1"/>
          <w:b/>
          <w:bCs/>
          <w:color w:val="000000"/>
        </w:rPr>
        <w:t xml:space="preserve"> </w:t>
      </w:r>
      <w:proofErr w:type="spellStart"/>
      <w:r w:rsidRPr="00BE0E8C">
        <w:rPr>
          <w:rStyle w:val="head1"/>
          <w:b/>
          <w:bCs/>
          <w:color w:val="000000"/>
        </w:rPr>
        <w:t>Yojana</w:t>
      </w:r>
      <w:proofErr w:type="spellEnd"/>
      <w:r w:rsidRPr="00BE0E8C">
        <w:rPr>
          <w:rStyle w:val="head1"/>
          <w:b/>
          <w:bCs/>
          <w:color w:val="000000"/>
        </w:rPr>
        <w:t xml:space="preserve"> -National Urban Livelihoods Mission (DAY-NULM)”</w:t>
      </w:r>
      <w:r w:rsidRPr="00BE0E8C">
        <w:rPr>
          <w:color w:val="000000"/>
        </w:rPr>
        <w: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 Introduction: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BE0E8C">
        <w:rPr>
          <w:color w:val="000000"/>
        </w:rPr>
        <w:t>empaneled</w:t>
      </w:r>
      <w:proofErr w:type="spellEnd"/>
      <w:r w:rsidRPr="00BE0E8C">
        <w:rPr>
          <w:color w:val="000000"/>
        </w:rPr>
        <w:t xml:space="preserve"> Business Correspondents (BCs) and Business Facilitators (BFs) to increase the outreach. Due diligence will be undertaken as per the Banks’ policy, in this regard.</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2.1 The application for individual and group enterprise loans will be sponsored by the Urban Local Body (ULB) which will be the sponsoring agency for the individual and group enterprise.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2.3 The beneficiaries desirous of seeking financial assistance for setting up an enterprise can submit an application of intent to the concerned ULB officials on a plain paper with basic details </w:t>
      </w:r>
      <w:proofErr w:type="spellStart"/>
      <w:r w:rsidRPr="00BE0E8C">
        <w:rPr>
          <w:color w:val="000000"/>
        </w:rPr>
        <w:t>viz</w:t>
      </w:r>
      <w:proofErr w:type="spellEnd"/>
      <w:r w:rsidRPr="00BE0E8C">
        <w:rPr>
          <w:color w:val="000000"/>
        </w:rPr>
        <w:t xml:space="preserve">: Name, Age, Contact details, Address, </w:t>
      </w:r>
      <w:proofErr w:type="spellStart"/>
      <w:r w:rsidRPr="00BE0E8C">
        <w:rPr>
          <w:color w:val="000000"/>
        </w:rPr>
        <w:t>Aadhaar</w:t>
      </w:r>
      <w:proofErr w:type="spellEnd"/>
      <w:r w:rsidRPr="00BE0E8C">
        <w:rPr>
          <w:color w:val="000000"/>
        </w:rPr>
        <w:t xml:space="preserve"> details (if any), amount of loan required, bank account number (if available), type of enterprise/ activity, category etc. The intent could also be sent by mail /post to the ULB office. The ULB shall accept such intents throughout the year.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2.4 The community structures formed under Social Mobilization &amp; Institutional Development (SM&amp;ID) component of DAY-NULM </w:t>
      </w:r>
      <w:proofErr w:type="spellStart"/>
      <w:r w:rsidRPr="00BE0E8C">
        <w:rPr>
          <w:color w:val="000000"/>
        </w:rPr>
        <w:t>viz</w:t>
      </w:r>
      <w:proofErr w:type="spellEnd"/>
      <w:r w:rsidRPr="00BE0E8C">
        <w:rPr>
          <w:color w:val="000000"/>
        </w:rPr>
        <w:t>: Self Help Groups (SHGs)/ Area Level Federations (ALFs) may also refer prospective individual and group entrepreneurs for purpose of financial assistance under SEP to ULB.</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2.6 ULB will call the beneficiaries in order of the waiting list to complete requisite documentation including filling of Loan Application Form (LAF), activity details, identity proof, address proof, bank account details etc. To verify the identity of the beneficiary, her/his </w:t>
      </w:r>
      <w:proofErr w:type="spellStart"/>
      <w:r w:rsidRPr="00BE0E8C">
        <w:rPr>
          <w:color w:val="000000"/>
        </w:rPr>
        <w:t>Aadhar</w:t>
      </w:r>
      <w:proofErr w:type="spellEnd"/>
      <w:r w:rsidRPr="00BE0E8C">
        <w:rPr>
          <w:color w:val="000000"/>
        </w:rPr>
        <w:t xml:space="preserve"> number will also be brought on record. If beneficiary does not have </w:t>
      </w:r>
      <w:proofErr w:type="spellStart"/>
      <w:r w:rsidRPr="00BE0E8C">
        <w:rPr>
          <w:color w:val="000000"/>
        </w:rPr>
        <w:t>Aadhaar</w:t>
      </w:r>
      <w:proofErr w:type="spellEnd"/>
      <w:r w:rsidRPr="00BE0E8C">
        <w:rPr>
          <w:color w:val="000000"/>
        </w:rPr>
        <w:t xml:space="preserve"> card, his/ her any other unique identification document like voters’ card, driving license etc. will be taken and s/he will be helped to obtain </w:t>
      </w:r>
      <w:proofErr w:type="spellStart"/>
      <w:r w:rsidRPr="00BE0E8C">
        <w:rPr>
          <w:color w:val="000000"/>
        </w:rPr>
        <w:t>Aadhar</w:t>
      </w:r>
      <w:proofErr w:type="spellEnd"/>
      <w:r w:rsidRPr="00BE0E8C">
        <w:rPr>
          <w:color w:val="000000"/>
        </w:rPr>
        <w:t xml:space="preserve">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2.8 The Chief Executive Officer (CEO)/ Municipal Commissioner of ULB will be responsible to constitute the Task Force and will be the Chairman of the Task force. There could be more than 1 task force at ULB level depending upon the size/population of the ULB.</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771F97" w:rsidRPr="00BE0E8C" w:rsidRDefault="00771F97" w:rsidP="00771F97">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4848"/>
        <w:gridCol w:w="2623"/>
      </w:tblGrid>
      <w:tr w:rsidR="00771F97" w:rsidRPr="00BE0E8C" w:rsidTr="00AE6D34">
        <w:trPr>
          <w:jc w:val="center"/>
        </w:trPr>
        <w:tc>
          <w:tcPr>
            <w:tcW w:w="300" w:type="pct"/>
            <w:tcMar>
              <w:top w:w="0" w:type="dxa"/>
              <w:left w:w="45" w:type="dxa"/>
              <w:bottom w:w="0" w:type="dxa"/>
              <w:right w:w="45" w:type="dxa"/>
            </w:tcMar>
            <w:vAlign w:val="center"/>
            <w:hideMark/>
          </w:tcPr>
          <w:p w:rsidR="00771F97" w:rsidRPr="00BE0E8C" w:rsidRDefault="00771F97" w:rsidP="00AE6D34">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771F97" w:rsidRPr="00BE0E8C" w:rsidRDefault="00771F97" w:rsidP="00AE6D34">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771F97" w:rsidRPr="00BE0E8C" w:rsidRDefault="00771F97" w:rsidP="00AE6D34">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Member </w:t>
            </w:r>
            <w:proofErr w:type="spellStart"/>
            <w:r w:rsidRPr="00BE0E8C">
              <w:rPr>
                <w:rFonts w:ascii="Times New Roman" w:hAnsi="Times New Roman" w:cs="Times New Roman"/>
                <w:color w:val="000000"/>
                <w:sz w:val="24"/>
                <w:szCs w:val="24"/>
              </w:rPr>
              <w:t>Convenor</w:t>
            </w:r>
            <w:proofErr w:type="spellEnd"/>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771F97" w:rsidRPr="00BE0E8C" w:rsidTr="00AE6D34">
        <w:trPr>
          <w:jc w:val="center"/>
        </w:trPr>
        <w:tc>
          <w:tcPr>
            <w:tcW w:w="30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771F97" w:rsidRPr="00BE0E8C" w:rsidRDefault="00771F97" w:rsidP="00AE6D34">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771F97" w:rsidRPr="00BE0E8C" w:rsidRDefault="00771F97" w:rsidP="00AE6D34">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2.13 Banks may also directly accept the loan applications of urban poor beneficiaries on the basis of relevant documents as per the guidelines of Prime Minister MUDRA </w:t>
      </w:r>
      <w:proofErr w:type="spellStart"/>
      <w:r w:rsidRPr="00BE0E8C">
        <w:rPr>
          <w:color w:val="000000"/>
        </w:rPr>
        <w:t>Yojana</w:t>
      </w:r>
      <w:proofErr w:type="spellEnd"/>
      <w:r w:rsidRPr="00BE0E8C">
        <w:rPr>
          <w:color w:val="000000"/>
        </w:rPr>
        <w:t xml:space="preserve">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xml:space="preserve"> Financial assistance should be extended only after the prospective beneficiary has acquired required skills for running </w:t>
      </w:r>
      <w:r w:rsidRPr="00BE0E8C">
        <w:rPr>
          <w:color w:val="000000"/>
        </w:rPr>
        <w:lastRenderedPageBreak/>
        <w:t>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3.3 The EDP module may be developed and finalized by State Urban Livelihoods Mission (SULM) supported by State Mission Management Unit (SMMU) with assistance of an </w:t>
      </w:r>
      <w:proofErr w:type="spellStart"/>
      <w:r w:rsidRPr="00BE0E8C">
        <w:rPr>
          <w:color w:val="000000"/>
        </w:rPr>
        <w:t>empaneled</w:t>
      </w:r>
      <w:proofErr w:type="spellEnd"/>
      <w:r w:rsidRPr="00BE0E8C">
        <w:rPr>
          <w:color w:val="000000"/>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lastRenderedPageBreak/>
        <w:t>Procedure I</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10" w:tgtFrame="_blank" w:history="1">
        <w:r w:rsidRPr="00BE0E8C">
          <w:rPr>
            <w:rStyle w:val="Hyperlink"/>
          </w:rPr>
          <w:t>www.paisaportal.in</w:t>
        </w:r>
      </w:hyperlink>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Procedure - II</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The Maximum unit Project Cost for an individual micro-enterprise is ₹ 2,00,000 (₹ Two Lakhs).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11"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No margin money should be taken for a loan up to ₹ 50,000 and for higher amount loans, preferably 5% should be taken as margin money and it should in no case be more than 10% of the project cost.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 xml:space="preserve">The group will be eligible for a maximum loan of </w:t>
      </w:r>
      <w:proofErr w:type="spellStart"/>
      <w:r w:rsidRPr="00BE0E8C">
        <w:rPr>
          <w:color w:val="000000"/>
        </w:rPr>
        <w:t>Rs</w:t>
      </w:r>
      <w:proofErr w:type="spellEnd"/>
      <w:r w:rsidRPr="00BE0E8C">
        <w:rPr>
          <w:color w:val="000000"/>
        </w:rPr>
        <w:t xml:space="preserve">. 2 Lakh per member or </w:t>
      </w:r>
      <w:proofErr w:type="spellStart"/>
      <w:r w:rsidRPr="00BE0E8C">
        <w:rPr>
          <w:color w:val="000000"/>
        </w:rPr>
        <w:t>Rs</w:t>
      </w:r>
      <w:proofErr w:type="spellEnd"/>
      <w:r w:rsidRPr="00BE0E8C">
        <w:rPr>
          <w:color w:val="000000"/>
        </w:rPr>
        <w:t>. 10 Lakh, whichever is lower.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w:t>
      </w:r>
      <w:proofErr w:type="spellStart"/>
      <w:r w:rsidRPr="00BE0E8C">
        <w:rPr>
          <w:color w:val="000000"/>
        </w:rPr>
        <w:t>Bhoomi</w:t>
      </w:r>
      <w:proofErr w:type="spellEnd"/>
      <w:r w:rsidRPr="00BE0E8C">
        <w:rPr>
          <w:color w:val="000000"/>
        </w:rPr>
        <w:t xml:space="preserve"> </w:t>
      </w:r>
      <w:proofErr w:type="spellStart"/>
      <w:r w:rsidRPr="00BE0E8C">
        <w:rPr>
          <w:color w:val="000000"/>
        </w:rPr>
        <w:t>Heen</w:t>
      </w:r>
      <w:proofErr w:type="spellEnd"/>
      <w:r w:rsidRPr="00BE0E8C">
        <w:rPr>
          <w:color w:val="000000"/>
        </w:rPr>
        <w:t xml:space="preserve"> </w:t>
      </w:r>
      <w:proofErr w:type="spellStart"/>
      <w:r w:rsidRPr="00BE0E8C">
        <w:rPr>
          <w:color w:val="000000"/>
        </w:rPr>
        <w:t>Kisan</w:t>
      </w:r>
      <w:proofErr w:type="spellEnd"/>
      <w:r w:rsidRPr="00BE0E8C">
        <w:rPr>
          <w:color w:val="000000"/>
        </w:rPr>
        <w:t>’ dated 13th November, 2014” and subsequent revisions should be followed in case of loans to a group.</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12" w:tgtFrame="_blank" w:history="1">
        <w:r w:rsidRPr="00BE0E8C">
          <w:rPr>
            <w:rStyle w:val="Hyperlink"/>
          </w:rPr>
          <w:t>FIDD.FID.BC. No.06/12.01.033/2021-22 dated April 01, 2021</w:t>
        </w:r>
      </w:hyperlink>
      <w:r w:rsidRPr="00BE0E8C">
        <w:rPr>
          <w:color w:val="000000"/>
        </w:rPr>
        <w:t xml:space="preserve">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w:t>
      </w:r>
      <w:r w:rsidRPr="00BE0E8C">
        <w:rPr>
          <w:color w:val="000000"/>
        </w:rPr>
        <w:lastRenderedPageBreak/>
        <w:t>advances to SHGs irrespective of the purposes for which the members of SHGs should be included by the banks as part of their lending to the weaker sections.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8.6 It may be noted that the identification, selection, formation and monitoring of SHGs who are to get interest subvention would be the responsibility of State/ ULBs and banks would not be liable for wrong identification of SHGs who get interest subvention.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771F97" w:rsidRPr="00BE0E8C" w:rsidRDefault="00771F97" w:rsidP="00771F97">
      <w:pPr>
        <w:pStyle w:val="NormalWeb"/>
        <w:shd w:val="clear" w:color="auto" w:fill="FFFFFF"/>
        <w:spacing w:before="0" w:beforeAutospacing="0" w:after="0" w:afterAutospacing="0"/>
        <w:jc w:val="both"/>
        <w:rPr>
          <w:color w:val="000000"/>
        </w:rPr>
      </w:pPr>
      <w:proofErr w:type="spellStart"/>
      <w:r w:rsidRPr="00BE0E8C">
        <w:rPr>
          <w:color w:val="000000"/>
        </w:rPr>
        <w:t>i</w:t>
      </w:r>
      <w:proofErr w:type="spellEnd"/>
      <w:r w:rsidRPr="00BE0E8C">
        <w:rPr>
          <w:color w:val="000000"/>
        </w:rPr>
        <w:t>) Outstanding balance shall not have remained in excess of the sanctioned limit/drawing power continuously for more than 30 days.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9.2 The SULM will compile all the reports received from respective ULBs and will communicate to Ministry of Housing and Urban Affairs (</w:t>
      </w:r>
      <w:proofErr w:type="spellStart"/>
      <w:r w:rsidRPr="00BE0E8C">
        <w:rPr>
          <w:color w:val="000000"/>
        </w:rPr>
        <w:t>MoHUA</w:t>
      </w:r>
      <w:proofErr w:type="spellEnd"/>
      <w:r w:rsidRPr="00BE0E8C">
        <w:rPr>
          <w:color w:val="000000"/>
        </w:rPr>
        <w:t>) on a monthly basis.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13" w:tgtFrame="_blank" w:history="1">
        <w:r w:rsidRPr="00BE0E8C">
          <w:rPr>
            <w:rStyle w:val="Hyperlink"/>
          </w:rPr>
          <w:t>RPCD.MSME&amp;NFS.BC.No.61/06.02.31/2013-14 dated December 02, 2013</w:t>
        </w:r>
      </w:hyperlink>
      <w:r w:rsidRPr="00BE0E8C">
        <w:rPr>
          <w:color w:val="000000"/>
        </w:rPr>
        <w:t> available on RBI web-site ‘</w:t>
      </w:r>
      <w:hyperlink r:id="rId14" w:tgtFrame="_blank" w:history="1">
        <w:r w:rsidRPr="00BE0E8C">
          <w:rPr>
            <w:rStyle w:val="Hyperlink"/>
          </w:rPr>
          <w:t>www.rbi.org.in</w:t>
        </w:r>
      </w:hyperlink>
      <w:r w:rsidRPr="00BE0E8C">
        <w:rPr>
          <w:color w:val="000000"/>
        </w:rPr>
        <w: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w:t>
      </w:r>
      <w:proofErr w:type="spellStart"/>
      <w:r w:rsidRPr="00BE0E8C">
        <w:rPr>
          <w:color w:val="000000"/>
        </w:rPr>
        <w:t>MoHUA</w:t>
      </w:r>
      <w:proofErr w:type="spellEnd"/>
      <w:r w:rsidRPr="00BE0E8C">
        <w:rPr>
          <w:color w:val="000000"/>
        </w:rPr>
        <w:t>) periodically.</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11.2 The City Livelihoods </w:t>
      </w:r>
      <w:proofErr w:type="spellStart"/>
      <w:r w:rsidRPr="00BE0E8C">
        <w:rPr>
          <w:color w:val="000000"/>
        </w:rPr>
        <w:t>Centers</w:t>
      </w:r>
      <w:proofErr w:type="spellEnd"/>
      <w:r w:rsidRPr="00BE0E8C">
        <w:rPr>
          <w:color w:val="000000"/>
        </w:rPr>
        <w:t xml:space="preserve"> (CLCs) established under DAY-NULM will offer services to the micro-enterprises such as in establishment (licenses, certificates registration, legal services </w:t>
      </w:r>
      <w:r w:rsidRPr="00BE0E8C">
        <w:rPr>
          <w:color w:val="000000"/>
        </w:rPr>
        <w:lastRenderedPageBreak/>
        <w:t>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13.6 To monitor progress of the targets vis-a-vis achievement under DAY-NULM, Banks are advised to furnish cumulative progress reports on quarterly basis as per enclosed </w:t>
      </w:r>
      <w:proofErr w:type="spellStart"/>
      <w:r w:rsidRPr="00BE0E8C">
        <w:rPr>
          <w:color w:val="000000"/>
        </w:rPr>
        <w:t>proforma</w:t>
      </w:r>
      <w:proofErr w:type="spellEnd"/>
      <w:r w:rsidRPr="00BE0E8C">
        <w:rPr>
          <w:color w:val="000000"/>
        </w:rPr>
        <w:t xml:space="preserve"> (</w:t>
      </w:r>
      <w:hyperlink r:id="rId15" w:tgtFrame="_blank" w:history="1">
        <w:r w:rsidRPr="00BE0E8C">
          <w:rPr>
            <w:rStyle w:val="Hyperlink"/>
          </w:rPr>
          <w:t>Annex I</w:t>
        </w:r>
      </w:hyperlink>
      <w:r w:rsidRPr="00BE0E8C">
        <w:rPr>
          <w:color w:val="000000"/>
        </w:rPr>
        <w:t> &amp; </w:t>
      </w:r>
      <w:hyperlink r:id="rId16" w:tgtFrame="_blank" w:history="1">
        <w:r w:rsidRPr="00BE0E8C">
          <w:rPr>
            <w:rStyle w:val="Hyperlink"/>
          </w:rPr>
          <w:t>II</w:t>
        </w:r>
      </w:hyperlink>
      <w:r w:rsidRPr="00BE0E8C">
        <w:rPr>
          <w:color w:val="000000"/>
        </w:rPr>
        <w:t>) to the Director, NULM as well as to RBI on </w:t>
      </w:r>
      <w:hyperlink r:id="rId17" w:history="1">
        <w:r w:rsidRPr="00BE0E8C">
          <w:rPr>
            <w:rStyle w:val="Hyperlink"/>
          </w:rPr>
          <w:t>email</w:t>
        </w:r>
      </w:hyperlink>
      <w:r w:rsidRPr="00BE0E8C">
        <w:rPr>
          <w:color w:val="000000"/>
        </w:rPr>
        <w:t> latest by the end of next month of the quarter to which they relate.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673F6C" w:rsidP="00771F97">
      <w:pPr>
        <w:pStyle w:val="NormalWeb"/>
        <w:pBdr>
          <w:bottom w:val="single" w:sz="12" w:space="1" w:color="auto"/>
        </w:pBdr>
        <w:shd w:val="clear" w:color="auto" w:fill="FFFFFF"/>
        <w:spacing w:before="0" w:beforeAutospacing="0" w:after="0" w:afterAutospacing="0"/>
        <w:jc w:val="both"/>
        <w:rPr>
          <w:color w:val="000000"/>
        </w:rPr>
      </w:pPr>
      <w:hyperlink r:id="rId18" w:history="1">
        <w:r w:rsidR="00771F97" w:rsidRPr="00BE0E8C">
          <w:rPr>
            <w:rStyle w:val="Hyperlink"/>
          </w:rPr>
          <w:t>https://www.rbi.org.in/Scripts/NotificationUser.aspx?Id=12066&amp;Mode=0</w:t>
        </w:r>
      </w:hyperlink>
      <w:r w:rsidR="00771F97" w:rsidRPr="00BE0E8C">
        <w:rPr>
          <w:color w:val="000000"/>
        </w:rPr>
        <w:t xml:space="preserve"> </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b/>
          <w:bCs/>
          <w:color w:val="000000"/>
        </w:rPr>
      </w:pPr>
      <w:r>
        <w:rPr>
          <w:b/>
          <w:bCs/>
          <w:color w:val="000000"/>
        </w:rPr>
        <w:t xml:space="preserve">3. </w:t>
      </w:r>
      <w:r w:rsidRPr="00BE0E8C">
        <w:rPr>
          <w:b/>
          <w:bCs/>
          <w:color w:val="000000"/>
        </w:rPr>
        <w:t>Master Circular on SHG-Bank Linkage Programme</w:t>
      </w:r>
    </w:p>
    <w:p w:rsidR="00771F97" w:rsidRPr="00BE0E8C" w:rsidRDefault="00771F97" w:rsidP="00771F97">
      <w:pPr>
        <w:pStyle w:val="NormalWeb"/>
        <w:shd w:val="clear" w:color="auto" w:fill="FFFFFF"/>
        <w:spacing w:before="0" w:beforeAutospacing="0" w:after="0" w:afterAutospacing="0"/>
        <w:jc w:val="both"/>
        <w:rPr>
          <w:b/>
          <w:color w:val="000000"/>
        </w:rPr>
      </w:pPr>
    </w:p>
    <w:p w:rsidR="00771F97" w:rsidRPr="00BE0E8C" w:rsidRDefault="00771F97" w:rsidP="00771F97">
      <w:pPr>
        <w:pStyle w:val="NormalWeb"/>
        <w:shd w:val="clear" w:color="auto" w:fill="FFFFFF"/>
        <w:spacing w:before="0" w:beforeAutospacing="0" w:after="0" w:afterAutospacing="0"/>
        <w:jc w:val="both"/>
        <w:rPr>
          <w:b/>
          <w:color w:val="000000"/>
        </w:rPr>
      </w:pPr>
      <w:r w:rsidRPr="00BE0E8C">
        <w:rPr>
          <w:b/>
          <w:color w:val="000000"/>
        </w:rPr>
        <w:t xml:space="preserve">RBI/2021-22/09 FIDD.CO.FID.BC.No.06/12.01.033/2021-22 </w:t>
      </w:r>
      <w:r w:rsidRPr="00BE0E8C">
        <w:rPr>
          <w:b/>
          <w:color w:val="000000"/>
        </w:rPr>
        <w:tab/>
      </w:r>
      <w:r w:rsidRPr="00BE0E8C">
        <w:rPr>
          <w:b/>
          <w:color w:val="000000"/>
        </w:rPr>
        <w:tab/>
        <w:t>April 01, 2021</w:t>
      </w:r>
    </w:p>
    <w:p w:rsidR="00771F97" w:rsidRPr="00BE0E8C" w:rsidRDefault="00771F97" w:rsidP="00771F97">
      <w:pPr>
        <w:pStyle w:val="NormalWeb"/>
        <w:shd w:val="clear" w:color="auto" w:fill="FFFFFF"/>
        <w:spacing w:before="0" w:beforeAutospacing="0" w:after="0" w:afterAutospacing="0"/>
        <w:jc w:val="both"/>
        <w:rPr>
          <w:i/>
          <w:color w:val="000000"/>
        </w:rPr>
      </w:pPr>
    </w:p>
    <w:p w:rsidR="00771F97" w:rsidRPr="00BE0E8C" w:rsidRDefault="00771F97" w:rsidP="00771F97">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w:t>
      </w:r>
    </w:p>
    <w:p w:rsidR="00771F97" w:rsidRPr="00BE0E8C" w:rsidRDefault="00771F97" w:rsidP="00771F97">
      <w:pPr>
        <w:pStyle w:val="NormalWeb"/>
        <w:shd w:val="clear" w:color="auto" w:fill="FFFFFF"/>
        <w:spacing w:before="0" w:beforeAutospacing="0" w:after="0" w:afterAutospacing="0"/>
        <w:jc w:val="both"/>
        <w:rPr>
          <w:color w:val="000000"/>
          <w:shd w:val="clear" w:color="auto" w:fill="FFFFFF"/>
        </w:rPr>
      </w:pPr>
    </w:p>
    <w:p w:rsidR="00771F97" w:rsidRPr="00BE0E8C" w:rsidRDefault="00771F97" w:rsidP="00771F9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 xml:space="preserve">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2. Recognizing the importance of SHG Bank linkage, banks have been advised to meet the entire credit requirements of SHG members, as envisaged in Paragraph 93 of the Union Budget announcement for the year 2008-09, made by the </w:t>
      </w:r>
      <w:proofErr w:type="spellStart"/>
      <w:r w:rsidRPr="00BE0E8C">
        <w:rPr>
          <w:color w:val="000000"/>
        </w:rPr>
        <w:t>Honorable</w:t>
      </w:r>
      <w:proofErr w:type="spellEnd"/>
      <w:r w:rsidRPr="00BE0E8C">
        <w:rPr>
          <w:color w:val="000000"/>
        </w:rPr>
        <w:t xml:space="preserv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w:t>
      </w:r>
      <w:r w:rsidRPr="00BE0E8C">
        <w:rPr>
          <w:color w:val="000000"/>
        </w:rPr>
        <w:lastRenderedPageBreak/>
        <w:t>include consumption expenditures. Accordingly, the following guidelines should be adhered to enable effective linkage of SHGs with the banking sector.</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4. Opening of Savings Bank A/C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SHGs, registered or unregistered, which are engaged in promoting savings habit among their members are eligible to open savings bank accounts with banks. These SHGs need not necessarily have already availed of credit facilities from banks before opening savings bank accounts. The instructions on simplified Customer Due Diligence (CDD) applicable to SHGs as prescribed in Part VI of the </w:t>
      </w:r>
      <w:hyperlink r:id="rId19" w:tgtFrame="_blank" w:history="1">
        <w:r w:rsidRPr="00BE0E8C">
          <w:rPr>
            <w:rStyle w:val="Hyperlink"/>
          </w:rPr>
          <w:t>Master Direction - Know Your Customer (KYC) Direction, 2016</w:t>
        </w:r>
      </w:hyperlink>
      <w:r w:rsidRPr="00BE0E8C">
        <w:rPr>
          <w:color w:val="000000"/>
        </w:rPr>
        <w:t> (as updated from time to time) shall be adhered to.</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5. Lending to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6. Interest rates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banks would have the discretion to decide on the interest rates applicable to loans given to Self Help Groups/member beneficiaries, subject to regulatory guidelines on interest rate on advances contained in Master Direction - Reserve Bank of India (Interest Rate on Advances) Directions, 2016 issued vide </w:t>
      </w:r>
      <w:hyperlink r:id="rId20" w:tgtFrame="_blank" w:history="1">
        <w:r w:rsidRPr="00BE0E8C">
          <w:rPr>
            <w:rStyle w:val="Hyperlink"/>
          </w:rPr>
          <w:t>DBR.Dir.No.85/13.03.00/2015-16 dated March 3, 2016</w:t>
        </w:r>
      </w:hyperlink>
      <w:r w:rsidRPr="00BE0E8C">
        <w:rPr>
          <w:color w:val="000000"/>
        </w:rPr>
        <w:t>, as amended from time to time.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 Service/ Processing charges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No loan related and ad hoc service charges/inspection charges should be levied on priority sector loans up to ₹ 25,000. In the case of eligible priority sector loans to SHGs/ JLGs, this limit will be applicable per member and not to the group as a whole.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8. Separate Segment under priority sector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Loans to SHGs are allowed to be classified under Priority Sector Lending (PSL) under the respective categories </w:t>
      </w:r>
      <w:proofErr w:type="spellStart"/>
      <w:r w:rsidRPr="00BE0E8C">
        <w:rPr>
          <w:color w:val="000000"/>
        </w:rPr>
        <w:t>viz</w:t>
      </w:r>
      <w:proofErr w:type="spellEnd"/>
      <w:r w:rsidRPr="00BE0E8C">
        <w:rPr>
          <w:color w:val="000000"/>
        </w:rPr>
        <w:t xml:space="preserve"> Agriculture, MSME, Social Infrastructure and others, subject to extant guidelines of Master Directions – Priority Sector Lending (PSL) – Targets and Classification issued vide </w:t>
      </w:r>
      <w:hyperlink r:id="rId21" w:tgtFrame="_blank" w:history="1">
        <w:r w:rsidRPr="00BE0E8C">
          <w:rPr>
            <w:rStyle w:val="Hyperlink"/>
          </w:rPr>
          <w:t>Master Directions FIDD.CO.Plan.BC.5/04.09.01/2020-21 dated September 4, 2020</w:t>
        </w:r>
      </w:hyperlink>
      <w:r w:rsidRPr="00BE0E8C">
        <w:rPr>
          <w:color w:val="000000"/>
        </w:rPr>
        <w:t>, as amended from time to time.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9. Presence of defaulters in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10. Capacity Building and Training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b) Banks shall refer to instructions on Financial Literacy by FLCs and rural branches – Policy review vide </w:t>
      </w:r>
      <w:hyperlink r:id="rId22" w:tgtFrame="_blank" w:history="1">
        <w:r w:rsidRPr="00BE0E8C">
          <w:rPr>
            <w:rStyle w:val="Hyperlink"/>
          </w:rPr>
          <w:t>Circular FIDD.FLC.BC.No.22/12.01.018/2016-17 dated March 02, 2017</w:t>
        </w:r>
      </w:hyperlink>
      <w:r w:rsidRPr="00BE0E8C">
        <w:rPr>
          <w:color w:val="000000"/>
        </w:rPr>
        <w:t> conducting tailored programs targeting </w:t>
      </w:r>
      <w:hyperlink r:id="rId23" w:tgtFrame="_blank" w:history="1">
        <w:r w:rsidRPr="00BE0E8C">
          <w:rPr>
            <w:rStyle w:val="Hyperlink"/>
          </w:rPr>
          <w:t>SHGs</w:t>
        </w:r>
      </w:hyperlink>
      <w:r w:rsidRPr="00BE0E8C">
        <w:rPr>
          <w:color w:val="000000"/>
        </w:rPr>
        <w: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11. Monitoring and Review of SHG Lending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24" w:tgtFrame="_blank" w:history="1">
        <w:r w:rsidRPr="00BE0E8C">
          <w:rPr>
            <w:rStyle w:val="Hyperlink"/>
          </w:rPr>
          <w:t>prescribed format</w:t>
        </w:r>
      </w:hyperlink>
      <w:r w:rsidRPr="00BE0E8C">
        <w:rPr>
          <w:color w:val="000000"/>
        </w:rPr>
        <w:t> shall be submitted within 15 days from due date.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12. Reporting to CICs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Recognizing the importance of credit information reporting in respect of the SHG members for financial inclusion, banks are advised to adhere to the guidelines on </w:t>
      </w:r>
      <w:hyperlink r:id="rId25" w:tgtFrame="_blank" w:history="1">
        <w:r w:rsidRPr="00BE0E8C">
          <w:rPr>
            <w:rStyle w:val="Hyperlink"/>
          </w:rPr>
          <w:t>Credit information reporting in respect of Self Help Group (SHG) members dated June 16, 2016</w:t>
        </w:r>
      </w:hyperlink>
      <w:r w:rsidRPr="00BE0E8C">
        <w:rPr>
          <w:color w:val="000000"/>
        </w:rPr>
        <w:t> and </w:t>
      </w:r>
      <w:hyperlink r:id="rId26" w:tgtFrame="_blank" w:history="1">
        <w:r w:rsidRPr="00BE0E8C">
          <w:rPr>
            <w:rStyle w:val="Hyperlink"/>
          </w:rPr>
          <w:t>Credit information reporting in respect of Self Help Group (SHG) members dated January 14, 2016</w:t>
        </w:r>
      </w:hyperlink>
      <w:r w:rsidRPr="00BE0E8C">
        <w:rPr>
          <w:color w:val="000000"/>
        </w:rPr>
        <w:t>.</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673F6C" w:rsidP="00771F97">
      <w:pPr>
        <w:pStyle w:val="NormalWeb"/>
        <w:pBdr>
          <w:bottom w:val="single" w:sz="12" w:space="1" w:color="auto"/>
        </w:pBdr>
        <w:shd w:val="clear" w:color="auto" w:fill="FFFFFF"/>
        <w:spacing w:before="0" w:beforeAutospacing="0" w:after="0" w:afterAutospacing="0"/>
        <w:jc w:val="both"/>
        <w:rPr>
          <w:color w:val="000000"/>
        </w:rPr>
      </w:pPr>
      <w:hyperlink r:id="rId27" w:history="1">
        <w:r w:rsidR="00771F97" w:rsidRPr="00BE0E8C">
          <w:rPr>
            <w:rStyle w:val="Hyperlink"/>
          </w:rPr>
          <w:t>https://www.rbi.org.in/Scripts/NotificationUser.aspx?Id=12063&amp;Mode=0</w:t>
        </w:r>
      </w:hyperlink>
    </w:p>
    <w:p w:rsidR="00771F97" w:rsidRPr="00BE0E8C" w:rsidRDefault="00771F97" w:rsidP="00771F97">
      <w:pPr>
        <w:pStyle w:val="NormalWeb"/>
        <w:shd w:val="clear" w:color="auto" w:fill="FFFFFF"/>
        <w:spacing w:before="0" w:beforeAutospacing="0" w:after="0" w:afterAutospacing="0"/>
        <w:jc w:val="both"/>
        <w:rPr>
          <w:b/>
          <w:bCs/>
          <w:color w:val="000000"/>
        </w:rPr>
      </w:pPr>
    </w:p>
    <w:p w:rsidR="00771F97" w:rsidRPr="00BE0E8C" w:rsidRDefault="00771F97" w:rsidP="00771F97">
      <w:pPr>
        <w:pStyle w:val="NormalWeb"/>
        <w:shd w:val="clear" w:color="auto" w:fill="FFFFFF"/>
        <w:spacing w:before="0" w:beforeAutospacing="0" w:after="0" w:afterAutospacing="0"/>
        <w:jc w:val="both"/>
        <w:rPr>
          <w:b/>
          <w:bCs/>
          <w:color w:val="000000"/>
        </w:rPr>
      </w:pPr>
      <w:r>
        <w:rPr>
          <w:b/>
          <w:bCs/>
          <w:color w:val="000000"/>
        </w:rPr>
        <w:t xml:space="preserve">4. </w:t>
      </w:r>
      <w:r w:rsidRPr="00BE0E8C">
        <w:rPr>
          <w:b/>
          <w:bCs/>
          <w:color w:val="000000"/>
        </w:rPr>
        <w:t xml:space="preserve">Master Circular –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Rural Livelihoods Mission (DAY-NRLM)</w:t>
      </w:r>
    </w:p>
    <w:p w:rsidR="00771F97" w:rsidRPr="00BE0E8C" w:rsidRDefault="00771F97" w:rsidP="00771F97">
      <w:pPr>
        <w:pStyle w:val="NormalWeb"/>
        <w:shd w:val="clear" w:color="auto" w:fill="FFFFFF"/>
        <w:spacing w:before="0" w:beforeAutospacing="0" w:after="0" w:afterAutospacing="0"/>
        <w:jc w:val="both"/>
        <w:rPr>
          <w:b/>
          <w:color w:val="000000"/>
        </w:rPr>
      </w:pPr>
    </w:p>
    <w:p w:rsidR="00771F97" w:rsidRPr="00BE0E8C" w:rsidRDefault="00771F97" w:rsidP="00771F97">
      <w:pPr>
        <w:pStyle w:val="NormalWeb"/>
        <w:shd w:val="clear" w:color="auto" w:fill="FFFFFF"/>
        <w:spacing w:before="0" w:beforeAutospacing="0" w:after="0" w:afterAutospacing="0"/>
        <w:jc w:val="both"/>
        <w:rPr>
          <w:b/>
          <w:color w:val="000000"/>
        </w:rPr>
      </w:pPr>
      <w:r w:rsidRPr="00BE0E8C">
        <w:rPr>
          <w:b/>
          <w:color w:val="000000"/>
        </w:rPr>
        <w:t>RBI/2021-22/05 FIDD.GSSD.CO.BC.No.04/09.01.01/2021-22</w:t>
      </w:r>
      <w:r w:rsidRPr="00BE0E8C">
        <w:rPr>
          <w:b/>
          <w:color w:val="000000"/>
        </w:rPr>
        <w:tab/>
      </w:r>
      <w:r w:rsidRPr="00BE0E8C">
        <w:rPr>
          <w:b/>
          <w:color w:val="000000"/>
        </w:rPr>
        <w:tab/>
        <w:t>April 01, 2021</w:t>
      </w:r>
    </w:p>
    <w:p w:rsidR="00771F97" w:rsidRPr="00BE0E8C" w:rsidRDefault="00771F97" w:rsidP="00771F97">
      <w:pPr>
        <w:pStyle w:val="NormalWeb"/>
        <w:shd w:val="clear" w:color="auto" w:fill="FFFFFF"/>
        <w:spacing w:before="0" w:beforeAutospacing="0" w:after="0" w:afterAutospacing="0"/>
        <w:jc w:val="both"/>
        <w:rPr>
          <w:i/>
          <w:color w:val="000000"/>
        </w:rPr>
      </w:pPr>
    </w:p>
    <w:p w:rsidR="00771F97" w:rsidRPr="00BE0E8C" w:rsidRDefault="00771F97" w:rsidP="00771F97">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771F97" w:rsidRPr="00BE0E8C" w:rsidRDefault="00771F97" w:rsidP="00771F97">
      <w:pPr>
        <w:pStyle w:val="NormalWeb"/>
        <w:shd w:val="clear" w:color="auto" w:fill="FFFFFF"/>
        <w:spacing w:before="0" w:beforeAutospacing="0" w:after="0" w:afterAutospacing="0"/>
        <w:jc w:val="both"/>
        <w:rPr>
          <w:color w:val="000000"/>
          <w:shd w:val="clear" w:color="auto" w:fill="FFFFFF"/>
        </w:rPr>
      </w:pPr>
    </w:p>
    <w:p w:rsidR="00771F97" w:rsidRPr="00BE0E8C" w:rsidRDefault="00771F97" w:rsidP="00771F9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28"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xml:space="preserve"> on </w:t>
      </w:r>
      <w:proofErr w:type="spellStart"/>
      <w:r w:rsidRPr="00BE0E8C">
        <w:rPr>
          <w:color w:val="000000"/>
          <w:shd w:val="clear" w:color="auto" w:fill="FFFFFF"/>
        </w:rPr>
        <w:t>Deendayal</w:t>
      </w:r>
      <w:proofErr w:type="spellEnd"/>
      <w:r w:rsidRPr="00BE0E8C">
        <w:rPr>
          <w:color w:val="000000"/>
          <w:shd w:val="clear" w:color="auto" w:fill="FFFFFF"/>
        </w:rPr>
        <w:t xml:space="preserve"> </w:t>
      </w:r>
      <w:proofErr w:type="spellStart"/>
      <w:r w:rsidRPr="00BE0E8C">
        <w:rPr>
          <w:color w:val="000000"/>
          <w:shd w:val="clear" w:color="auto" w:fill="FFFFFF"/>
        </w:rPr>
        <w:t>Antyodaya</w:t>
      </w:r>
      <w:proofErr w:type="spellEnd"/>
      <w:r w:rsidRPr="00BE0E8C">
        <w:rPr>
          <w:color w:val="000000"/>
          <w:shd w:val="clear" w:color="auto" w:fill="FFFFFF"/>
        </w:rPr>
        <w:t xml:space="preserve"> </w:t>
      </w:r>
      <w:proofErr w:type="spellStart"/>
      <w:r w:rsidRPr="00BE0E8C">
        <w:rPr>
          <w:color w:val="000000"/>
          <w:shd w:val="clear" w:color="auto" w:fill="FFFFFF"/>
        </w:rPr>
        <w:t>Yojana</w:t>
      </w:r>
      <w:proofErr w:type="spellEnd"/>
      <w:r w:rsidRPr="00BE0E8C">
        <w:rPr>
          <w:color w:val="000000"/>
          <w:shd w:val="clear" w:color="auto" w:fill="FFFFFF"/>
        </w:rPr>
        <w:t xml:space="preserve"> - National Rural Livelihoods Mission (DAY-NRLM).</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 Background</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The Ministry of Rural Development (</w:t>
      </w:r>
      <w:proofErr w:type="spellStart"/>
      <w:r w:rsidRPr="00BE0E8C">
        <w:rPr>
          <w:color w:val="000000"/>
        </w:rPr>
        <w:t>MoRD</w:t>
      </w:r>
      <w:proofErr w:type="spellEnd"/>
      <w:r w:rsidRPr="00BE0E8C">
        <w:rPr>
          <w:color w:val="000000"/>
        </w:rPr>
        <w:t xml:space="preserve">), Government of India launched the National Rural Livelihood Mission (NRLM) by restructuring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Swarojgar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(SGSY) with effect from 01st April 2013 (</w:t>
      </w:r>
      <w:hyperlink r:id="rId29" w:tgtFrame="_blank" w:history="1">
        <w:r w:rsidRPr="00BE0E8C">
          <w:rPr>
            <w:rStyle w:val="Hyperlink"/>
          </w:rPr>
          <w:t>RBI Circular No. RBI/2012-13/559 dated 27 June 2013</w:t>
        </w:r>
      </w:hyperlink>
      <w:r w:rsidRPr="00BE0E8C">
        <w:rPr>
          <w:color w:val="000000"/>
        </w:rPr>
        <w:t>). NRLM was renamed as DAY-NRLM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Rural Livelihoods Mission) </w:t>
      </w:r>
      <w:proofErr w:type="spellStart"/>
      <w:r w:rsidRPr="00BE0E8C">
        <w:rPr>
          <w:color w:val="000000"/>
        </w:rPr>
        <w:t>w.e.f</w:t>
      </w:r>
      <w:proofErr w:type="spellEnd"/>
      <w:r w:rsidRPr="00BE0E8C">
        <w:rPr>
          <w:color w:val="000000"/>
        </w:rPr>
        <w:t>.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30" w:anchor="A_1" w:history="1">
        <w:r w:rsidRPr="00BE0E8C">
          <w:rPr>
            <w:rStyle w:val="Hyperlink"/>
          </w:rPr>
          <w:t>Annex I</w:t>
        </w:r>
      </w:hyperlink>
      <w:r w:rsidRPr="00BE0E8C">
        <w:rPr>
          <w:color w:val="000000"/>
        </w:rPr>
        <w: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w:t>
      </w:r>
      <w:proofErr w:type="spellStart"/>
      <w:r w:rsidRPr="00BE0E8C">
        <w:rPr>
          <w:color w:val="000000"/>
        </w:rPr>
        <w:t>RPCD.No</w:t>
      </w:r>
      <w:proofErr w:type="spellEnd"/>
      <w:r w:rsidRPr="00BE0E8C">
        <w:rPr>
          <w:color w:val="000000"/>
        </w:rPr>
        <w:t>. Plan BC.13/PL-09.22/90-91 dated July 24th, 1991. However, Federations of Self Help Groups formed at Village, Gram Panchayat, Cluster or higher level may be registered under appropriate acts prevailing in their respective states.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xml:space="preserve"> DAY-NRLM, </w:t>
      </w:r>
      <w:proofErr w:type="spellStart"/>
      <w:r w:rsidRPr="00BE0E8C">
        <w:rPr>
          <w:color w:val="000000"/>
        </w:rPr>
        <w:t>MoRD</w:t>
      </w:r>
      <w:proofErr w:type="spellEnd"/>
      <w:r w:rsidRPr="00BE0E8C">
        <w:rPr>
          <w:color w:val="000000"/>
        </w:rPr>
        <w:t>, would provide Revolving Fund (RF) support to SHGs in existence for a minimum period of 3/6 month and follow the norms of good SHGs, i.e. they follow ‘</w:t>
      </w:r>
      <w:proofErr w:type="spellStart"/>
      <w:r w:rsidRPr="00BE0E8C">
        <w:rPr>
          <w:color w:val="000000"/>
        </w:rPr>
        <w:t>Panchasutra</w:t>
      </w:r>
      <w:proofErr w:type="spellEnd"/>
      <w:r w:rsidRPr="00BE0E8C">
        <w:rPr>
          <w:color w:val="000000"/>
        </w:rPr>
        <w:t>’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CIF would be provided by </w:t>
      </w:r>
      <w:proofErr w:type="spellStart"/>
      <w:r w:rsidRPr="00BE0E8C">
        <w:rPr>
          <w:color w:val="000000"/>
        </w:rPr>
        <w:t>MoRD</w:t>
      </w:r>
      <w:proofErr w:type="spellEnd"/>
      <w:r w:rsidRPr="00BE0E8C">
        <w:rPr>
          <w:color w:val="000000"/>
        </w:rPr>
        <w:t xml:space="preserve">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lastRenderedPageBreak/>
        <w:t>DAY-NRLM has a provision for interest subvention, to cover the difference between the Lending Rate of the banks and 7%, on all credit from the banks/ financial institutions availed by women SHGs, for a maximum of ₹ 300,000/- per SHG. This would be available across the country in two ways: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xml:space="preserve">) In 250 identified districts, banks may lend to the women SHGs @7% up to an aggregated loan amount of ₹300,000/-. The banks would be </w:t>
      </w:r>
      <w:proofErr w:type="spellStart"/>
      <w:r w:rsidRPr="00BE0E8C">
        <w:rPr>
          <w:color w:val="000000"/>
        </w:rPr>
        <w:t>subvented</w:t>
      </w:r>
      <w:proofErr w:type="spellEnd"/>
      <w:r w:rsidRPr="00BE0E8C">
        <w:rPr>
          <w:color w:val="000000"/>
        </w:rPr>
        <w:t xml:space="preserve"> to the extent of difference between the Weighted Average Interest Charged and 7%, subject to the maximum limit of 5.5%. An additional interest subvention of 3% is also available on prompt repayment by the SHGs, reducing the effective rate of interest to 4%.</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(ii) In the remaining districts, the banks may lend at their respective lending rates, applicable to SHGs. In these districts, all women SHGs under DAY– NRLM would be eligible for interest subvention on prompt repayment. The difference between the bank lending rates and 7% for loans up to ₹ 300,000/- subject to a maximum limit of 5.5%, would be </w:t>
      </w:r>
      <w:proofErr w:type="spellStart"/>
      <w:r w:rsidRPr="00BE0E8C">
        <w:rPr>
          <w:color w:val="000000"/>
        </w:rPr>
        <w:t>subvented</w:t>
      </w:r>
      <w:proofErr w:type="spellEnd"/>
      <w:r w:rsidRPr="00BE0E8C">
        <w:rPr>
          <w:color w:val="000000"/>
        </w:rPr>
        <w:t xml:space="preserve"> directly in the loan accounts of the SHGs by the SRLMs. This part of the scheme would be operationalized by the SRLMs.</w:t>
      </w:r>
    </w:p>
    <w:p w:rsidR="00771F97" w:rsidRPr="00BE0E8C" w:rsidRDefault="00771F97" w:rsidP="00771F97">
      <w:pPr>
        <w:pStyle w:val="NormalWeb"/>
        <w:numPr>
          <w:ilvl w:val="0"/>
          <w:numId w:val="1"/>
        </w:numPr>
        <w:shd w:val="clear" w:color="auto" w:fill="FFFFFF"/>
        <w:spacing w:before="0" w:beforeAutospacing="0" w:after="0" w:afterAutospacing="0"/>
        <w:jc w:val="both"/>
        <w:rPr>
          <w:color w:val="000000"/>
        </w:rPr>
      </w:pPr>
      <w:r w:rsidRPr="00BE0E8C">
        <w:rPr>
          <w:color w:val="000000"/>
        </w:rPr>
        <w:t>Salient features of the Scheme are enclosed in </w:t>
      </w:r>
      <w:hyperlink r:id="rId31" w:anchor="A_2" w:history="1">
        <w:r w:rsidRPr="00BE0E8C">
          <w:rPr>
            <w:rStyle w:val="Hyperlink"/>
          </w:rPr>
          <w:t>Annex II</w:t>
        </w:r>
      </w:hyperlink>
      <w:r w:rsidRPr="00BE0E8C">
        <w:rPr>
          <w:color w:val="000000"/>
        </w:rPr>
        <w:t>.</w:t>
      </w:r>
    </w:p>
    <w:p w:rsidR="00771F97" w:rsidRPr="00BE0E8C" w:rsidRDefault="00771F97" w:rsidP="00771F97">
      <w:pPr>
        <w:pStyle w:val="NormalWeb"/>
        <w:numPr>
          <w:ilvl w:val="0"/>
          <w:numId w:val="1"/>
        </w:numPr>
        <w:shd w:val="clear" w:color="auto" w:fill="FFFFFF"/>
        <w:spacing w:before="0" w:beforeAutospacing="0" w:after="0" w:afterAutospacing="0"/>
        <w:jc w:val="both"/>
        <w:rPr>
          <w:color w:val="000000"/>
        </w:rPr>
      </w:pPr>
      <w:r w:rsidRPr="00BE0E8C">
        <w:rPr>
          <w:color w:val="000000"/>
        </w:rPr>
        <w:t>The list of 250 identified districts is as per </w:t>
      </w:r>
      <w:hyperlink r:id="rId32" w:anchor="A_3" w:history="1">
        <w:r w:rsidRPr="00BE0E8C">
          <w:rPr>
            <w:rStyle w:val="Hyperlink"/>
          </w:rPr>
          <w:t>Annex III</w:t>
        </w:r>
      </w:hyperlink>
      <w:r w:rsidRPr="00BE0E8C">
        <w:rPr>
          <w:color w:val="000000"/>
        </w:rPr>
        <w:t>.</w:t>
      </w:r>
    </w:p>
    <w:p w:rsidR="00771F97" w:rsidRPr="00BE0E8C" w:rsidRDefault="00771F97" w:rsidP="00771F97">
      <w:pPr>
        <w:pStyle w:val="NormalWeb"/>
        <w:numPr>
          <w:ilvl w:val="0"/>
          <w:numId w:val="1"/>
        </w:numPr>
        <w:shd w:val="clear" w:color="auto" w:fill="FFFFFF"/>
        <w:spacing w:before="0" w:beforeAutospacing="0" w:after="0" w:afterAutospacing="0"/>
        <w:jc w:val="both"/>
        <w:rPr>
          <w:color w:val="000000"/>
        </w:rPr>
      </w:pPr>
      <w:proofErr w:type="spellStart"/>
      <w:r w:rsidRPr="00BE0E8C">
        <w:rPr>
          <w:color w:val="000000"/>
        </w:rPr>
        <w:t>Subvented</w:t>
      </w:r>
      <w:proofErr w:type="spellEnd"/>
      <w:r w:rsidRPr="00BE0E8C">
        <w:rPr>
          <w:color w:val="000000"/>
        </w:rPr>
        <w:t xml:space="preserve"> interest rate would be communicated separately to the banks by </w:t>
      </w:r>
      <w:proofErr w:type="spellStart"/>
      <w:r w:rsidRPr="00BE0E8C">
        <w:rPr>
          <w:color w:val="000000"/>
        </w:rPr>
        <w:t>GoI</w:t>
      </w:r>
      <w:proofErr w:type="spellEnd"/>
      <w:r w:rsidRPr="00BE0E8C">
        <w:rPr>
          <w:color w:val="000000"/>
        </w:rPr>
        <w:t>/RBI.</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 Role of banks: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771F97" w:rsidRPr="00BE0E8C" w:rsidRDefault="00771F97" w:rsidP="00771F97">
      <w:pPr>
        <w:pStyle w:val="NormalWeb"/>
        <w:numPr>
          <w:ilvl w:val="0"/>
          <w:numId w:val="2"/>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771F97" w:rsidRPr="00BE0E8C" w:rsidRDefault="00771F97" w:rsidP="00771F97">
      <w:pPr>
        <w:pStyle w:val="NormalWeb"/>
        <w:numPr>
          <w:ilvl w:val="0"/>
          <w:numId w:val="2"/>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771F97" w:rsidRPr="00BE0E8C" w:rsidRDefault="00771F97" w:rsidP="00771F97">
      <w:pPr>
        <w:pStyle w:val="NormalWeb"/>
        <w:numPr>
          <w:ilvl w:val="0"/>
          <w:numId w:val="2"/>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33"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771F97" w:rsidRPr="00BE0E8C" w:rsidRDefault="00771F97" w:rsidP="00771F97">
      <w:pPr>
        <w:pStyle w:val="NormalWeb"/>
        <w:numPr>
          <w:ilvl w:val="0"/>
          <w:numId w:val="2"/>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lastRenderedPageBreak/>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771F97" w:rsidRPr="00BE0E8C" w:rsidRDefault="00771F97" w:rsidP="00771F97">
      <w:pPr>
        <w:pStyle w:val="NormalWeb"/>
        <w:numPr>
          <w:ilvl w:val="0"/>
          <w:numId w:val="3"/>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771F97" w:rsidRPr="00BE0E8C" w:rsidRDefault="00771F97" w:rsidP="00771F97">
      <w:pPr>
        <w:pStyle w:val="NormalWeb"/>
        <w:numPr>
          <w:ilvl w:val="0"/>
          <w:numId w:val="3"/>
        </w:numPr>
        <w:shd w:val="clear" w:color="auto" w:fill="FFFFFF"/>
        <w:spacing w:before="0" w:beforeAutospacing="0" w:after="0" w:afterAutospacing="0"/>
        <w:jc w:val="both"/>
        <w:rPr>
          <w:color w:val="000000"/>
        </w:rPr>
      </w:pPr>
      <w:r w:rsidRPr="00BE0E8C">
        <w:rPr>
          <w:color w:val="000000"/>
        </w:rPr>
        <w:t>SHGs should be practicing ‘</w:t>
      </w:r>
      <w:proofErr w:type="spellStart"/>
      <w:r w:rsidRPr="00BE0E8C">
        <w:rPr>
          <w:color w:val="000000"/>
        </w:rPr>
        <w:t>Panchasutras</w:t>
      </w:r>
      <w:proofErr w:type="spellEnd"/>
      <w:r w:rsidRPr="00BE0E8C">
        <w:rPr>
          <w:color w:val="000000"/>
        </w:rPr>
        <w:t>’ i.e. Regular meetings; Regular savings; Regular inter-loaning; Timely repayment; and Up-to-date books of accounts;</w:t>
      </w:r>
    </w:p>
    <w:p w:rsidR="00771F97" w:rsidRPr="00BE0E8C" w:rsidRDefault="00771F97" w:rsidP="00771F97">
      <w:pPr>
        <w:pStyle w:val="NormalWeb"/>
        <w:numPr>
          <w:ilvl w:val="0"/>
          <w:numId w:val="3"/>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771F97" w:rsidRPr="00BE0E8C" w:rsidRDefault="00771F97" w:rsidP="00771F97">
      <w:pPr>
        <w:pStyle w:val="NormalWeb"/>
        <w:numPr>
          <w:ilvl w:val="0"/>
          <w:numId w:val="3"/>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SHGs may avail either Term Loan (TL) or a Cash Credit Limit (CCL) loan or both based on the need. In case of need, additional loan may be sanctioned even though the previous loan is outstanding, based on the repayment </w:t>
      </w:r>
      <w:proofErr w:type="spellStart"/>
      <w:r w:rsidRPr="00BE0E8C">
        <w:rPr>
          <w:color w:val="000000"/>
        </w:rPr>
        <w:t>behavior</w:t>
      </w:r>
      <w:proofErr w:type="spellEnd"/>
      <w:r w:rsidRPr="00BE0E8C">
        <w:rPr>
          <w:color w:val="000000"/>
        </w:rPr>
        <w:t xml:space="preserve"> and performance of the SHG.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In case of CCL, banks are advised to sanction minimum loan of ₹ 6 lakh to each eligible SHGs for a period of 3 years with a yearly drawing power (DP). The drawing power may be enhanced annually based on the repayment performance of the SHG. The drawing power may be calculated as follows:</w:t>
      </w:r>
    </w:p>
    <w:p w:rsidR="00771F97" w:rsidRPr="00BE0E8C" w:rsidRDefault="00771F97" w:rsidP="00771F97">
      <w:pPr>
        <w:pStyle w:val="NormalWeb"/>
        <w:numPr>
          <w:ilvl w:val="0"/>
          <w:numId w:val="4"/>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771F97" w:rsidRPr="00BE0E8C" w:rsidRDefault="00771F97" w:rsidP="00771F97">
      <w:pPr>
        <w:pStyle w:val="NormalWeb"/>
        <w:numPr>
          <w:ilvl w:val="0"/>
          <w:numId w:val="4"/>
        </w:numPr>
        <w:shd w:val="clear" w:color="auto" w:fill="FFFFFF"/>
        <w:spacing w:before="0" w:beforeAutospacing="0" w:after="0" w:afterAutospacing="0"/>
        <w:jc w:val="both"/>
        <w:rPr>
          <w:color w:val="000000"/>
        </w:rPr>
      </w:pPr>
      <w:r w:rsidRPr="00BE0E8C">
        <w:rPr>
          <w:color w:val="000000"/>
        </w:rPr>
        <w:t>DP for Second Year: 8 times of the corpus at the time review/ enhancement or minimum of ₹2 lakh, whichever is higher</w:t>
      </w:r>
    </w:p>
    <w:p w:rsidR="00771F97" w:rsidRPr="00BE0E8C" w:rsidRDefault="00771F97" w:rsidP="00771F97">
      <w:pPr>
        <w:pStyle w:val="NormalWeb"/>
        <w:numPr>
          <w:ilvl w:val="0"/>
          <w:numId w:val="4"/>
        </w:numPr>
        <w:shd w:val="clear" w:color="auto" w:fill="FFFFFF"/>
        <w:spacing w:before="0" w:beforeAutospacing="0" w:after="0" w:afterAutospacing="0"/>
        <w:jc w:val="both"/>
        <w:rPr>
          <w:color w:val="000000"/>
        </w:rPr>
      </w:pPr>
      <w:r w:rsidRPr="00BE0E8C">
        <w:rPr>
          <w:color w:val="000000"/>
        </w:rPr>
        <w:lastRenderedPageBreak/>
        <w:t>DP for Third Year: Minimum of ₹6 lakh based on the Micro credit plan prepared by SHG and appraised by the Federations /Support agency and the previous credit history.</w:t>
      </w:r>
    </w:p>
    <w:p w:rsidR="00771F97" w:rsidRPr="00BE0E8C" w:rsidRDefault="00771F97" w:rsidP="00771F97">
      <w:pPr>
        <w:pStyle w:val="NormalWeb"/>
        <w:numPr>
          <w:ilvl w:val="0"/>
          <w:numId w:val="4"/>
        </w:numPr>
        <w:shd w:val="clear" w:color="auto" w:fill="FFFFFF"/>
        <w:spacing w:before="0" w:beforeAutospacing="0" w:after="0" w:afterAutospacing="0"/>
        <w:jc w:val="both"/>
        <w:rPr>
          <w:color w:val="000000"/>
        </w:rPr>
      </w:pPr>
      <w:r w:rsidRPr="00BE0E8C">
        <w:rPr>
          <w:color w:val="000000"/>
        </w:rPr>
        <w:t>DP for Fourth Year onwards: Above ₹6 lakh, based on the Micro credit plan prepared by SHG and appraised by the Federations /Support agency and the previous credit History.</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771F97" w:rsidRPr="00BE0E8C" w:rsidRDefault="00771F97" w:rsidP="00771F97">
      <w:pPr>
        <w:pStyle w:val="NormalWeb"/>
        <w:numPr>
          <w:ilvl w:val="0"/>
          <w:numId w:val="5"/>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771F97" w:rsidRPr="00BE0E8C" w:rsidRDefault="00771F97" w:rsidP="00771F97">
      <w:pPr>
        <w:pStyle w:val="NormalWeb"/>
        <w:numPr>
          <w:ilvl w:val="0"/>
          <w:numId w:val="5"/>
        </w:numPr>
        <w:shd w:val="clear" w:color="auto" w:fill="FFFFFF"/>
        <w:spacing w:before="0" w:beforeAutospacing="0" w:after="0" w:afterAutospacing="0"/>
        <w:jc w:val="both"/>
        <w:rPr>
          <w:color w:val="000000"/>
        </w:rPr>
      </w:pPr>
      <w:r w:rsidRPr="00BE0E8C">
        <w:rPr>
          <w:color w:val="000000"/>
        </w:rPr>
        <w:t>Second Dose: 8 times of the existing corpus or minimum of ₹2 lakh, whichever is higher</w:t>
      </w:r>
    </w:p>
    <w:p w:rsidR="00771F97" w:rsidRPr="00BE0E8C" w:rsidRDefault="00771F97" w:rsidP="00771F97">
      <w:pPr>
        <w:pStyle w:val="NormalWeb"/>
        <w:numPr>
          <w:ilvl w:val="0"/>
          <w:numId w:val="5"/>
        </w:numPr>
        <w:shd w:val="clear" w:color="auto" w:fill="FFFFFF"/>
        <w:spacing w:before="0" w:beforeAutospacing="0" w:after="0" w:afterAutospacing="0"/>
        <w:jc w:val="both"/>
        <w:rPr>
          <w:color w:val="000000"/>
        </w:rPr>
      </w:pPr>
      <w:r w:rsidRPr="00BE0E8C">
        <w:rPr>
          <w:color w:val="000000"/>
        </w:rPr>
        <w:t>Third Dose: Minimum of ₹6 lakh, based on the Micro credit plan prepared by the SHGs and appraised by the Federations /Support agency and the previous credit history.</w:t>
      </w:r>
    </w:p>
    <w:p w:rsidR="00771F97" w:rsidRPr="00BE0E8C" w:rsidRDefault="00771F97" w:rsidP="00771F97">
      <w:pPr>
        <w:pStyle w:val="NormalWeb"/>
        <w:numPr>
          <w:ilvl w:val="0"/>
          <w:numId w:val="5"/>
        </w:numPr>
        <w:shd w:val="clear" w:color="auto" w:fill="FFFFFF"/>
        <w:spacing w:before="0" w:beforeAutospacing="0" w:after="0" w:afterAutospacing="0"/>
        <w:jc w:val="both"/>
        <w:rPr>
          <w:color w:val="000000"/>
        </w:rPr>
      </w:pPr>
      <w:r w:rsidRPr="00BE0E8C">
        <w:rPr>
          <w:color w:val="000000"/>
        </w:rPr>
        <w:t>Fourth Dose onwards: Above ₹6 lakh, based on the Micro credit plan prepared by the SHGs and appraised by the Federations /Support agency and the previous credit History.</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In order to facilitate use of loans for augmenting livelihoods of SHG members, it is advised that at least 50% of loans above ₹2 lakh, 75% of loans above ₹4 lakh and at least 85% of loans above ₹6 lakh be used primarily for income generating productive purposes. Micro Credit Plan (MCP) prepared by SHGs would form the basis for determining the purpose and usage of loans.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771F97" w:rsidRPr="00BE0E8C" w:rsidRDefault="00771F97" w:rsidP="00771F97">
      <w:pPr>
        <w:pStyle w:val="NormalWeb"/>
        <w:numPr>
          <w:ilvl w:val="0"/>
          <w:numId w:val="6"/>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771F97" w:rsidRPr="00BE0E8C" w:rsidRDefault="00771F97" w:rsidP="00771F97">
      <w:pPr>
        <w:pStyle w:val="NormalWeb"/>
        <w:numPr>
          <w:ilvl w:val="0"/>
          <w:numId w:val="6"/>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771F97" w:rsidRPr="00BE0E8C" w:rsidRDefault="00771F97" w:rsidP="00771F97">
      <w:pPr>
        <w:pStyle w:val="NormalWeb"/>
        <w:numPr>
          <w:ilvl w:val="0"/>
          <w:numId w:val="6"/>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771F97" w:rsidRPr="00BE0E8C" w:rsidRDefault="00771F97" w:rsidP="00771F97">
      <w:pPr>
        <w:pStyle w:val="NormalWeb"/>
        <w:numPr>
          <w:ilvl w:val="0"/>
          <w:numId w:val="6"/>
        </w:numPr>
        <w:shd w:val="clear" w:color="auto" w:fill="FFFFFF"/>
        <w:spacing w:before="0" w:beforeAutospacing="0" w:after="0" w:afterAutospacing="0"/>
        <w:jc w:val="both"/>
        <w:rPr>
          <w:color w:val="000000"/>
        </w:rPr>
      </w:pPr>
      <w:r w:rsidRPr="00BE0E8C">
        <w:rPr>
          <w:color w:val="000000"/>
        </w:rPr>
        <w:t xml:space="preserve">The loan from Fourth dose onwards may be repaid between 60-84 months based on the cash flow in monthly/ quarterly </w:t>
      </w:r>
      <w:proofErr w:type="spellStart"/>
      <w:r w:rsidRPr="00BE0E8C">
        <w:rPr>
          <w:color w:val="000000"/>
        </w:rPr>
        <w:t>installments</w:t>
      </w:r>
      <w:proofErr w:type="spellEnd"/>
      <w:r w:rsidRPr="00BE0E8C">
        <w:rPr>
          <w:color w:val="000000"/>
        </w:rPr>
        <w: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 xml:space="preserve">It is desirable that </w:t>
      </w:r>
      <w:proofErr w:type="spellStart"/>
      <w:r w:rsidRPr="00BE0E8C">
        <w:rPr>
          <w:color w:val="000000"/>
        </w:rPr>
        <w:t>willful</w:t>
      </w:r>
      <w:proofErr w:type="spellEnd"/>
      <w:r w:rsidRPr="00BE0E8C">
        <w:rPr>
          <w:color w:val="000000"/>
        </w:rPr>
        <w:t xml:space="preserve"> defaulters should not be financed under DAY-NRLM. In case </w:t>
      </w:r>
      <w:proofErr w:type="spellStart"/>
      <w:r w:rsidRPr="00BE0E8C">
        <w:rPr>
          <w:color w:val="000000"/>
        </w:rPr>
        <w:t>willful</w:t>
      </w:r>
      <w:proofErr w:type="spellEnd"/>
      <w:r w:rsidRPr="00BE0E8C">
        <w:rPr>
          <w:color w:val="000000"/>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BE0E8C">
        <w:rPr>
          <w:color w:val="000000"/>
        </w:rPr>
        <w:lastRenderedPageBreak/>
        <w:t>willful</w:t>
      </w:r>
      <w:proofErr w:type="spellEnd"/>
      <w:r w:rsidRPr="00BE0E8C">
        <w:rPr>
          <w:color w:val="000000"/>
        </w:rPr>
        <w:t xml:space="preserve"> defaulters should not have the benefit of such bank loan until the outstanding loans are repaid. </w:t>
      </w:r>
      <w:proofErr w:type="spellStart"/>
      <w:r w:rsidRPr="00BE0E8C">
        <w:rPr>
          <w:color w:val="000000"/>
        </w:rPr>
        <w:t>Willful</w:t>
      </w:r>
      <w:proofErr w:type="spellEnd"/>
      <w:r w:rsidRPr="00BE0E8C">
        <w:rPr>
          <w:color w:val="000000"/>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BE0E8C">
        <w:rPr>
          <w:color w:val="000000"/>
        </w:rPr>
        <w:t>willful</w:t>
      </w:r>
      <w:proofErr w:type="spellEnd"/>
      <w:r w:rsidRPr="00BE0E8C">
        <w:rPr>
          <w:color w:val="000000"/>
        </w:rPr>
        <w:t xml:space="preserve"> defaulters should not be debarred from receiving the loan. In case default is due to genuine reasons, banks may follow the norms suggested for restructuring the account with revised repayment schedule.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10 Repayment:</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w:t>
      </w:r>
      <w:r w:rsidRPr="00BE0E8C">
        <w:rPr>
          <w:color w:val="000000"/>
        </w:rPr>
        <w:lastRenderedPageBreak/>
        <w:t>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34" w:tgtFrame="_blank" w:history="1">
        <w:r w:rsidRPr="00BE0E8C">
          <w:rPr>
            <w:rStyle w:val="Hyperlink"/>
          </w:rPr>
          <w:t>Annex–IV</w:t>
        </w:r>
      </w:hyperlink>
      <w:r w:rsidRPr="00BE0E8C">
        <w:rPr>
          <w:color w:val="000000"/>
        </w:rPr>
        <w:t> and </w:t>
      </w:r>
      <w:hyperlink r:id="rId35"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771F97" w:rsidRPr="00BE0E8C" w:rsidRDefault="00771F97" w:rsidP="00771F97">
      <w:pPr>
        <w:pStyle w:val="NormalWeb"/>
        <w:shd w:val="clear" w:color="auto" w:fill="FFFFFF"/>
        <w:spacing w:before="0" w:beforeAutospacing="0" w:after="0" w:afterAutospacing="0"/>
        <w:jc w:val="both"/>
        <w:rPr>
          <w:rStyle w:val="head1"/>
          <w:b/>
          <w:bCs/>
          <w:color w:val="000000"/>
        </w:rPr>
      </w:pPr>
    </w:p>
    <w:p w:rsidR="00771F97" w:rsidRPr="00BE0E8C" w:rsidRDefault="00771F97" w:rsidP="00771F97">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xml:space="preserve"> Financial Literacy is one of the important strategies to spread awareness on financial </w:t>
      </w:r>
      <w:proofErr w:type="spellStart"/>
      <w:r w:rsidRPr="00BE0E8C">
        <w:rPr>
          <w:color w:val="000000"/>
        </w:rPr>
        <w:t>behavior</w:t>
      </w:r>
      <w:proofErr w:type="spellEnd"/>
      <w:r w:rsidRPr="00BE0E8C">
        <w:rPr>
          <w:color w:val="000000"/>
        </w:rPr>
        <w:t xml:space="preserve"> and keep households informed about various financial products and services. DAY-NRLM has trained and deployed a large number of cadre called ‘Financial Literacy Community Resource Persons (FL-CRPs)’ to carry out financial literacy camps at village level. Financial Literacy </w:t>
      </w:r>
      <w:proofErr w:type="spellStart"/>
      <w:r w:rsidRPr="00BE0E8C">
        <w:rPr>
          <w:color w:val="000000"/>
        </w:rPr>
        <w:t>Centers</w:t>
      </w:r>
      <w:proofErr w:type="spellEnd"/>
      <w:r w:rsidRPr="00BE0E8C">
        <w:rPr>
          <w:color w:val="000000"/>
        </w:rPr>
        <w:t xml:space="preserve"> (FLC) established by various banks may coordinate with respective SRLMs and utilize the services of FL-CRPs to conduct village camps on Financial Literacy.</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13 Data Sharing: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w:t>
      </w:r>
      <w:proofErr w:type="spellStart"/>
      <w:r w:rsidRPr="00BE0E8C">
        <w:rPr>
          <w:color w:val="000000"/>
        </w:rPr>
        <w:t>Mantri</w:t>
      </w:r>
      <w:proofErr w:type="spellEnd"/>
      <w:r w:rsidRPr="00BE0E8C">
        <w:rPr>
          <w:color w:val="000000"/>
        </w:rPr>
        <w:t xml:space="preserve"> </w:t>
      </w:r>
      <w:proofErr w:type="spellStart"/>
      <w:r w:rsidRPr="00BE0E8C">
        <w:rPr>
          <w:color w:val="000000"/>
        </w:rPr>
        <w:t>Jeevan</w:t>
      </w:r>
      <w:proofErr w:type="spellEnd"/>
      <w:r w:rsidRPr="00BE0E8C">
        <w:rPr>
          <w:color w:val="000000"/>
        </w:rPr>
        <w:t xml:space="preserve"> </w:t>
      </w:r>
      <w:proofErr w:type="spellStart"/>
      <w:r w:rsidRPr="00BE0E8C">
        <w:rPr>
          <w:color w:val="000000"/>
        </w:rPr>
        <w:t>Jyoti</w:t>
      </w:r>
      <w:proofErr w:type="spellEnd"/>
      <w:r w:rsidRPr="00BE0E8C">
        <w:rPr>
          <w:color w:val="000000"/>
        </w:rPr>
        <w:t xml:space="preserve">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(PMJJBY) and Pradhan </w:t>
      </w:r>
      <w:proofErr w:type="spellStart"/>
      <w:r w:rsidRPr="00BE0E8C">
        <w:rPr>
          <w:color w:val="000000"/>
        </w:rPr>
        <w:t>Mantri</w:t>
      </w:r>
      <w:proofErr w:type="spellEnd"/>
      <w:r w:rsidRPr="00BE0E8C">
        <w:rPr>
          <w:color w:val="000000"/>
        </w:rPr>
        <w:t xml:space="preserve"> Suraksha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(PMSBY) with DAY-NRLM on agreed formats to facilitate higher </w:t>
      </w:r>
      <w:proofErr w:type="spellStart"/>
      <w:r w:rsidRPr="00BE0E8C">
        <w:rPr>
          <w:color w:val="000000"/>
        </w:rPr>
        <w:t>enrollment</w:t>
      </w:r>
      <w:proofErr w:type="spellEnd"/>
      <w:r w:rsidRPr="00BE0E8C">
        <w:rPr>
          <w:color w:val="000000"/>
        </w:rPr>
        <w:t xml:space="preserve"> and claim settlement under the mentioned schemes.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771F97" w:rsidRPr="00BE0E8C" w:rsidRDefault="00771F97" w:rsidP="00771F97">
      <w:pPr>
        <w:pStyle w:val="head"/>
        <w:shd w:val="clear" w:color="auto" w:fill="FFFFFF"/>
        <w:spacing w:before="0" w:beforeAutospacing="0" w:after="0" w:afterAutospacing="0"/>
        <w:jc w:val="both"/>
        <w:rPr>
          <w:b/>
          <w:bCs/>
          <w:color w:val="000000"/>
        </w:rPr>
      </w:pPr>
    </w:p>
    <w:p w:rsidR="00771F97" w:rsidRPr="00BE0E8C" w:rsidRDefault="00771F97" w:rsidP="00771F97">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lastRenderedPageBreak/>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w:t>
      </w:r>
      <w:proofErr w:type="spellStart"/>
      <w:r w:rsidRPr="00BE0E8C">
        <w:rPr>
          <w:color w:val="000000"/>
        </w:rPr>
        <w:t>Mitra</w:t>
      </w:r>
      <w:proofErr w:type="spellEnd"/>
      <w:r w:rsidRPr="00BE0E8C">
        <w:rPr>
          <w:color w:val="000000"/>
        </w:rPr>
        <w:t xml:space="preserve">/ </w:t>
      </w:r>
      <w:proofErr w:type="spellStart"/>
      <w:r w:rsidRPr="00BE0E8C">
        <w:rPr>
          <w:color w:val="000000"/>
        </w:rPr>
        <w:t>Sakhi</w:t>
      </w:r>
      <w:proofErr w:type="spellEnd"/>
      <w:r w:rsidRPr="00BE0E8C">
        <w:rPr>
          <w:color w:val="000000"/>
        </w:rPr>
        <w:t>) with every bank branch involved in financing of SHGs.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771F97" w:rsidRPr="00BE0E8C" w:rsidRDefault="00771F97" w:rsidP="00771F97">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771F97" w:rsidRPr="00BE0E8C" w:rsidRDefault="00771F97" w:rsidP="00771F97">
      <w:pPr>
        <w:pStyle w:val="NormalWeb"/>
        <w:shd w:val="clear" w:color="auto" w:fill="FFFFFF"/>
        <w:spacing w:before="0" w:beforeAutospacing="0" w:after="0" w:afterAutospacing="0"/>
        <w:jc w:val="both"/>
        <w:rPr>
          <w:color w:val="000000"/>
        </w:rPr>
      </w:pPr>
    </w:p>
    <w:p w:rsidR="00771F97" w:rsidRPr="00BE0E8C" w:rsidRDefault="00771F97" w:rsidP="00771F97">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771F97" w:rsidRPr="00BE0E8C" w:rsidRDefault="00673F6C" w:rsidP="00771F97">
      <w:pPr>
        <w:pStyle w:val="NormalWeb"/>
        <w:pBdr>
          <w:bottom w:val="single" w:sz="12" w:space="1" w:color="auto"/>
        </w:pBdr>
        <w:shd w:val="clear" w:color="auto" w:fill="FFFFFF"/>
        <w:spacing w:before="0" w:beforeAutospacing="0" w:after="0" w:afterAutospacing="0"/>
        <w:rPr>
          <w:color w:val="000000"/>
        </w:rPr>
      </w:pPr>
      <w:hyperlink r:id="rId36" w:history="1">
        <w:r w:rsidR="00771F97" w:rsidRPr="00BE0E8C">
          <w:rPr>
            <w:rStyle w:val="Hyperlink"/>
          </w:rPr>
          <w:t>https://www.rbi.org.in/Scripts/NotificationUser.aspx?Id=12062&amp;Mode=0</w:t>
        </w:r>
      </w:hyperlink>
    </w:p>
    <w:p w:rsidR="00771F97" w:rsidRPr="00BE0E8C" w:rsidRDefault="00771F97" w:rsidP="00771F97">
      <w:pPr>
        <w:pStyle w:val="NormalWeb"/>
        <w:shd w:val="clear" w:color="auto" w:fill="FFFFFF"/>
        <w:spacing w:before="0" w:beforeAutospacing="0" w:after="0" w:afterAutospacing="0"/>
        <w:jc w:val="both"/>
        <w:rPr>
          <w:b/>
          <w:bCs/>
          <w:color w:val="000000"/>
        </w:rPr>
      </w:pPr>
    </w:p>
    <w:p w:rsidR="00D63255" w:rsidRPr="00BE0E8C" w:rsidRDefault="00D63255" w:rsidP="00D63255">
      <w:pPr>
        <w:pStyle w:val="NormalWeb"/>
        <w:shd w:val="clear" w:color="auto" w:fill="FFFFFF"/>
        <w:spacing w:before="0" w:beforeAutospacing="0" w:after="0" w:afterAutospacing="0"/>
        <w:jc w:val="both"/>
        <w:rPr>
          <w:b/>
          <w:bCs/>
          <w:color w:val="000000"/>
        </w:rPr>
      </w:pPr>
      <w:r>
        <w:rPr>
          <w:b/>
          <w:bCs/>
          <w:color w:val="000000"/>
        </w:rPr>
        <w:t xml:space="preserve">5. </w:t>
      </w:r>
      <w:r w:rsidRPr="00BE0E8C">
        <w:rPr>
          <w:b/>
          <w:bCs/>
          <w:color w:val="000000"/>
        </w:rPr>
        <w:t>Amendment to Master Direction (MD) on KYC – KYC norms for Self Help Groups (SHGs)</w:t>
      </w:r>
    </w:p>
    <w:p w:rsidR="00D63255" w:rsidRPr="00BE0E8C" w:rsidRDefault="00D63255" w:rsidP="00D63255">
      <w:pPr>
        <w:pStyle w:val="NormalWeb"/>
        <w:shd w:val="clear" w:color="auto" w:fill="FFFFFF"/>
        <w:spacing w:before="0" w:beforeAutospacing="0" w:after="0" w:afterAutospacing="0"/>
        <w:jc w:val="both"/>
        <w:rPr>
          <w:b/>
          <w:color w:val="000000"/>
        </w:rPr>
      </w:pPr>
    </w:p>
    <w:p w:rsidR="00D63255" w:rsidRPr="00BE0E8C" w:rsidRDefault="00D63255" w:rsidP="00D63255">
      <w:pPr>
        <w:pStyle w:val="NormalWeb"/>
        <w:shd w:val="clear" w:color="auto" w:fill="FFFFFF"/>
        <w:spacing w:before="0" w:beforeAutospacing="0" w:after="0" w:afterAutospacing="0"/>
        <w:jc w:val="both"/>
        <w:rPr>
          <w:b/>
          <w:color w:val="000000"/>
        </w:rPr>
      </w:pPr>
      <w:r w:rsidRPr="00BE0E8C">
        <w:rPr>
          <w:b/>
          <w:color w:val="000000"/>
        </w:rPr>
        <w:t>RBI/2021-22/10 DOR.AML.BC.No.1/14.01.001/2021-22</w:t>
      </w:r>
      <w:r w:rsidRPr="00BE0E8C">
        <w:rPr>
          <w:b/>
          <w:color w:val="000000"/>
        </w:rPr>
        <w:tab/>
      </w:r>
      <w:r w:rsidRPr="00BE0E8C">
        <w:rPr>
          <w:b/>
          <w:color w:val="000000"/>
        </w:rPr>
        <w:tab/>
      </w:r>
      <w:r w:rsidRPr="00BE0E8C">
        <w:rPr>
          <w:b/>
          <w:color w:val="000000"/>
        </w:rPr>
        <w:tab/>
        <w:t>April 1, 2021</w:t>
      </w:r>
    </w:p>
    <w:p w:rsidR="00D63255" w:rsidRPr="00BE0E8C" w:rsidRDefault="00D63255" w:rsidP="00D63255">
      <w:pPr>
        <w:pStyle w:val="NormalWeb"/>
        <w:shd w:val="clear" w:color="auto" w:fill="FFFFFF"/>
        <w:spacing w:before="0" w:beforeAutospacing="0" w:after="0" w:afterAutospacing="0"/>
        <w:jc w:val="both"/>
        <w:rPr>
          <w:i/>
          <w:color w:val="000000"/>
          <w:shd w:val="clear" w:color="auto" w:fill="FFFFFF"/>
        </w:rPr>
      </w:pPr>
    </w:p>
    <w:p w:rsidR="00D63255" w:rsidRPr="00BE0E8C" w:rsidRDefault="00D63255" w:rsidP="00D63255">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37"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D63255" w:rsidRDefault="00D63255" w:rsidP="00D63255">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D63255" w:rsidRPr="00BE0E8C" w:rsidRDefault="00D63255" w:rsidP="00D63255">
      <w:pPr>
        <w:pStyle w:val="NormalWeb"/>
        <w:pBdr>
          <w:bottom w:val="single" w:sz="12" w:space="1" w:color="auto"/>
        </w:pBdr>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b/>
          <w:bCs/>
          <w:color w:val="000000"/>
        </w:rPr>
      </w:pPr>
    </w:p>
    <w:p w:rsidR="00D63255" w:rsidRPr="00BE0E8C" w:rsidRDefault="00381605" w:rsidP="00D63255">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00D63255" w:rsidRPr="00BE0E8C">
        <w:rPr>
          <w:rFonts w:ascii="Times New Roman" w:hAnsi="Times New Roman" w:cs="Times New Roman"/>
          <w:b/>
          <w:bCs/>
          <w:color w:val="000000"/>
          <w:sz w:val="24"/>
          <w:szCs w:val="24"/>
        </w:rPr>
        <w:t xml:space="preserve">Extension of </w:t>
      </w:r>
      <w:proofErr w:type="spellStart"/>
      <w:r w:rsidR="00D63255" w:rsidRPr="00BE0E8C">
        <w:rPr>
          <w:rFonts w:ascii="Times New Roman" w:hAnsi="Times New Roman" w:cs="Times New Roman"/>
          <w:b/>
          <w:bCs/>
          <w:color w:val="000000"/>
          <w:sz w:val="24"/>
          <w:szCs w:val="24"/>
        </w:rPr>
        <w:t>Cheque</w:t>
      </w:r>
      <w:proofErr w:type="spellEnd"/>
      <w:r w:rsidR="00D63255" w:rsidRPr="00BE0E8C">
        <w:rPr>
          <w:rFonts w:ascii="Times New Roman" w:hAnsi="Times New Roman" w:cs="Times New Roman"/>
          <w:b/>
          <w:bCs/>
          <w:color w:val="000000"/>
          <w:sz w:val="24"/>
          <w:szCs w:val="24"/>
        </w:rPr>
        <w:t xml:space="preserve"> Truncation System (CTS) across all bank branches in the country</w:t>
      </w:r>
    </w:p>
    <w:p w:rsidR="00D63255" w:rsidRPr="00BE0E8C" w:rsidRDefault="00D63255" w:rsidP="00D63255">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D63255" w:rsidRPr="00BE0E8C" w:rsidRDefault="00D63255" w:rsidP="00D6325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RBI/2020-21/107 </w:t>
      </w:r>
      <w:proofErr w:type="spellStart"/>
      <w:r w:rsidRPr="00BE0E8C">
        <w:rPr>
          <w:rFonts w:ascii="Times New Roman" w:eastAsia="Times New Roman" w:hAnsi="Times New Roman" w:cs="Times New Roman"/>
          <w:b/>
          <w:color w:val="000000"/>
          <w:sz w:val="24"/>
          <w:szCs w:val="24"/>
          <w:lang w:eastAsia="en-IN"/>
        </w:rPr>
        <w:t>DPSS.CO.RPPD.No.SUO</w:t>
      </w:r>
      <w:proofErr w:type="spellEnd"/>
      <w:r w:rsidRPr="00BE0E8C">
        <w:rPr>
          <w:rFonts w:ascii="Times New Roman" w:eastAsia="Times New Roman" w:hAnsi="Times New Roman" w:cs="Times New Roman"/>
          <w:b/>
          <w:color w:val="000000"/>
          <w:sz w:val="24"/>
          <w:szCs w:val="24"/>
          <w:lang w:eastAsia="en-IN"/>
        </w:rPr>
        <w:t xml:space="preserve"> 21102/04.07.005/2020-21</w:t>
      </w:r>
      <w:r w:rsidRPr="00BE0E8C">
        <w:rPr>
          <w:rFonts w:ascii="Times New Roman" w:eastAsia="Times New Roman" w:hAnsi="Times New Roman" w:cs="Times New Roman"/>
          <w:b/>
          <w:color w:val="000000"/>
          <w:sz w:val="24"/>
          <w:szCs w:val="24"/>
          <w:lang w:eastAsia="en-IN"/>
        </w:rPr>
        <w:tab/>
        <w:t>March 15, 2021</w:t>
      </w:r>
    </w:p>
    <w:p w:rsidR="00D63255" w:rsidRPr="00BE0E8C" w:rsidRDefault="00D63255" w:rsidP="00D63255">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D63255" w:rsidRPr="00BE0E8C" w:rsidRDefault="00D63255" w:rsidP="00D63255">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The Chairman and Managing Director / Chief Executive Officer, All Scheduled Commercial Banks including Regional Rural Banks / Urban Co-operative Banks / State Co-operative Banks /District Central Co-operative Banks / Local Area Banks / Payment Banks / Small Finance Banks / National Payments Corporation of India</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lastRenderedPageBreak/>
        <w:t>Please refer to the </w:t>
      </w:r>
      <w:hyperlink r:id="rId38" w:tgtFrame="_blank" w:history="1">
        <w:r w:rsidRPr="00BE0E8C">
          <w:rPr>
            <w:rStyle w:val="Hyperlink"/>
          </w:rPr>
          <w:t>Statement on Developmental and Regulatory Policies dated February 5, 2021</w:t>
        </w:r>
      </w:hyperlink>
      <w:r w:rsidRPr="00BE0E8C">
        <w:rPr>
          <w:color w:val="000000"/>
        </w:rPr>
        <w:t> wherein Reserve Bank of India (RBI) had announced pan-India coverage of CTS by bringing all branches of banks in the country under image-based CTS clearing mechanism.</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2. The CTS is in use since 2010 and presently covers around 1,50,000 branches. All the erstwhile 1219 non-CTS clearing houses (ECCS centres) have been migrated to CTS effective September 2020. It is, however, seen that there are branches of banks that are outside any formal clearing arrangement and their customers face hardships due to longer time taken and cost involved in collection of cheques presented by them.</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3. To leverage the availability of CTS and provide uniform customer experience irrespective of location of her/his bank branch, it has been decided to extend CTS across all bank branches in the country. To facilitate this, banks shall have to ensure that all their branches participate in image-based CTS under respective grids by September 30, 2021. They are free to adopt a model of their choice, like deploying suitable infrastructure in every branch or following a hub &amp; spoke model, etc. and concerned banks shall coordinate with the respective Regional Offices of RBI to operationalise this.</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4. Banks are advised to inform us (</w:t>
      </w:r>
      <w:hyperlink r:id="rId39" w:history="1">
        <w:r w:rsidRPr="00BE0E8C">
          <w:rPr>
            <w:rStyle w:val="Hyperlink"/>
          </w:rPr>
          <w:t>helpdpss@rbi.org.in</w:t>
        </w:r>
      </w:hyperlink>
      <w:r w:rsidRPr="00BE0E8C">
        <w:rPr>
          <w:color w:val="000000"/>
        </w:rPr>
        <w:t>) the roadmap to achieve pan-India coverage of CTS and submit a status report before April 30, 2021.</w:t>
      </w:r>
    </w:p>
    <w:p w:rsidR="00D63255" w:rsidRPr="00BE0E8C" w:rsidRDefault="00D63255" w:rsidP="00D63255">
      <w:pPr>
        <w:pStyle w:val="NormalWeb"/>
        <w:shd w:val="clear" w:color="auto" w:fill="FFFFFF"/>
        <w:spacing w:before="0" w:beforeAutospacing="0" w:after="0" w:afterAutospacing="0"/>
        <w:jc w:val="both"/>
        <w:rPr>
          <w:color w:val="000000"/>
        </w:rPr>
      </w:pPr>
    </w:p>
    <w:p w:rsidR="00D63255" w:rsidRPr="00BE0E8C" w:rsidRDefault="00D63255" w:rsidP="00D63255">
      <w:pPr>
        <w:pStyle w:val="NormalWeb"/>
        <w:shd w:val="clear" w:color="auto" w:fill="FFFFFF"/>
        <w:spacing w:before="0" w:beforeAutospacing="0" w:after="0" w:afterAutospacing="0"/>
        <w:jc w:val="both"/>
        <w:rPr>
          <w:color w:val="000000"/>
        </w:rPr>
      </w:pPr>
      <w:r w:rsidRPr="00BE0E8C">
        <w:rPr>
          <w:color w:val="000000"/>
        </w:rPr>
        <w:t>5. This directive is issued under Section 10 (2) read with Section 18 of Payment and Settlement Systems Act, 2007 (Act 51 of 2007).</w:t>
      </w:r>
    </w:p>
    <w:p w:rsidR="00D63255" w:rsidRPr="00BE0E8C" w:rsidRDefault="00D63255" w:rsidP="00D6325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63255" w:rsidRPr="00BE0E8C" w:rsidRDefault="00D63255" w:rsidP="00D63255">
      <w:pPr>
        <w:shd w:val="clear" w:color="auto" w:fill="FFFFFF"/>
        <w:spacing w:after="0" w:line="240" w:lineRule="auto"/>
        <w:jc w:val="both"/>
        <w:rPr>
          <w:rFonts w:ascii="Times New Roman" w:hAnsi="Times New Roman" w:cs="Times New Roman"/>
          <w:b/>
          <w:bCs/>
          <w:color w:val="000000"/>
          <w:sz w:val="24"/>
          <w:szCs w:val="24"/>
        </w:rPr>
      </w:pPr>
    </w:p>
    <w:p w:rsidR="00381605" w:rsidRPr="00BE0E8C" w:rsidRDefault="00381605" w:rsidP="00381605">
      <w:pPr>
        <w:pStyle w:val="NormalWeb"/>
        <w:shd w:val="clear" w:color="auto" w:fill="FFFFFF"/>
        <w:spacing w:before="0" w:beforeAutospacing="0" w:after="0" w:afterAutospacing="0"/>
        <w:jc w:val="both"/>
        <w:rPr>
          <w:b/>
          <w:color w:val="000000"/>
        </w:rPr>
      </w:pPr>
      <w:r>
        <w:rPr>
          <w:b/>
          <w:color w:val="000000"/>
        </w:rPr>
        <w:t xml:space="preserve">7. </w:t>
      </w:r>
      <w:r w:rsidRPr="00BE0E8C">
        <w:rPr>
          <w:b/>
          <w:color w:val="000000"/>
        </w:rPr>
        <w:t>Maintenance of Cash Reserve Ratio (CRR)</w:t>
      </w:r>
    </w:p>
    <w:p w:rsidR="00381605" w:rsidRPr="00BE0E8C" w:rsidRDefault="00381605" w:rsidP="00381605">
      <w:pPr>
        <w:pStyle w:val="NormalWeb"/>
        <w:shd w:val="clear" w:color="auto" w:fill="FFFFFF"/>
        <w:spacing w:before="0" w:beforeAutospacing="0" w:after="0" w:afterAutospacing="0"/>
        <w:jc w:val="both"/>
        <w:rPr>
          <w:b/>
          <w:color w:val="000000"/>
        </w:rPr>
      </w:pPr>
    </w:p>
    <w:p w:rsidR="00381605" w:rsidRPr="00BE0E8C" w:rsidRDefault="00381605" w:rsidP="00381605">
      <w:pPr>
        <w:pStyle w:val="NormalWeb"/>
        <w:shd w:val="clear" w:color="auto" w:fill="FFFFFF"/>
        <w:spacing w:before="0" w:beforeAutospacing="0" w:after="0" w:afterAutospacing="0"/>
        <w:jc w:val="both"/>
        <w:rPr>
          <w:b/>
          <w:color w:val="000000"/>
        </w:rPr>
      </w:pPr>
      <w:r w:rsidRPr="00BE0E8C">
        <w:rPr>
          <w:b/>
          <w:color w:val="000000"/>
        </w:rPr>
        <w:t>RBI/2020-21/90 DOR.No.Ret.BC.35/12.01.001/2020-21</w:t>
      </w:r>
      <w:r w:rsidRPr="00BE0E8C">
        <w:rPr>
          <w:b/>
          <w:color w:val="000000"/>
        </w:rPr>
        <w:tab/>
      </w:r>
      <w:r w:rsidRPr="00BE0E8C">
        <w:rPr>
          <w:b/>
          <w:color w:val="000000"/>
        </w:rPr>
        <w:tab/>
      </w:r>
      <w:r w:rsidRPr="00BE0E8C">
        <w:rPr>
          <w:b/>
          <w:color w:val="000000"/>
        </w:rPr>
        <w:tab/>
        <w:t>February 5, 2021</w:t>
      </w:r>
    </w:p>
    <w:p w:rsidR="00381605" w:rsidRPr="00BE0E8C" w:rsidRDefault="00381605" w:rsidP="00381605">
      <w:pPr>
        <w:pStyle w:val="NormalWeb"/>
        <w:shd w:val="clear" w:color="auto" w:fill="FFFFFF"/>
        <w:spacing w:before="0" w:beforeAutospacing="0" w:after="0" w:afterAutospacing="0"/>
        <w:jc w:val="both"/>
        <w:rPr>
          <w:b/>
          <w:color w:val="000000"/>
        </w:rPr>
      </w:pPr>
    </w:p>
    <w:p w:rsidR="00381605" w:rsidRPr="00BE0E8C" w:rsidRDefault="00381605" w:rsidP="00381605">
      <w:pPr>
        <w:pStyle w:val="NormalWeb"/>
        <w:shd w:val="clear" w:color="auto" w:fill="FFFFFF"/>
        <w:spacing w:before="0" w:beforeAutospacing="0" w:after="0" w:afterAutospacing="0"/>
        <w:jc w:val="both"/>
        <w:rPr>
          <w:i/>
          <w:color w:val="000000"/>
        </w:rPr>
      </w:pPr>
      <w:r w:rsidRPr="00BE0E8C">
        <w:rPr>
          <w:i/>
          <w:color w:val="000000"/>
        </w:rPr>
        <w:t>All Banks</w:t>
      </w:r>
    </w:p>
    <w:p w:rsidR="00381605" w:rsidRPr="00BE0E8C" w:rsidRDefault="00381605" w:rsidP="00381605">
      <w:pPr>
        <w:pStyle w:val="NormalWeb"/>
        <w:shd w:val="clear" w:color="auto" w:fill="FFFFFF"/>
        <w:spacing w:before="0" w:beforeAutospacing="0" w:after="0" w:afterAutospacing="0"/>
        <w:jc w:val="both"/>
        <w:rPr>
          <w:color w:val="000000"/>
        </w:rPr>
      </w:pPr>
    </w:p>
    <w:p w:rsidR="00381605" w:rsidRPr="00BE0E8C" w:rsidRDefault="00381605" w:rsidP="00381605">
      <w:pPr>
        <w:pStyle w:val="NormalWeb"/>
        <w:shd w:val="clear" w:color="auto" w:fill="FFFFFF"/>
        <w:spacing w:before="0" w:beforeAutospacing="0" w:after="0" w:afterAutospacing="0"/>
        <w:jc w:val="both"/>
        <w:rPr>
          <w:color w:val="000000"/>
        </w:rPr>
      </w:pPr>
      <w:r w:rsidRPr="00BE0E8C">
        <w:rPr>
          <w:color w:val="000000"/>
        </w:rPr>
        <w:t>Please refer to our </w:t>
      </w:r>
      <w:hyperlink r:id="rId40"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381605" w:rsidRPr="00BE0E8C" w:rsidRDefault="00381605" w:rsidP="00381605">
      <w:pPr>
        <w:pStyle w:val="NormalWeb"/>
        <w:shd w:val="clear" w:color="auto" w:fill="FFFFFF"/>
        <w:spacing w:before="0" w:beforeAutospacing="0" w:after="0" w:afterAutospacing="0"/>
        <w:jc w:val="both"/>
        <w:rPr>
          <w:color w:val="000000"/>
        </w:rPr>
      </w:pPr>
    </w:p>
    <w:p w:rsidR="00381605" w:rsidRPr="00BE0E8C" w:rsidRDefault="00381605" w:rsidP="00381605">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41"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381605" w:rsidRPr="00BE0E8C" w:rsidRDefault="00381605" w:rsidP="00381605">
      <w:pPr>
        <w:pStyle w:val="NormalWeb"/>
        <w:pBdr>
          <w:bottom w:val="single" w:sz="12" w:space="1" w:color="auto"/>
        </w:pBdr>
        <w:shd w:val="clear" w:color="auto" w:fill="FFFFFF"/>
        <w:spacing w:before="0" w:beforeAutospacing="0" w:after="0" w:afterAutospacing="0"/>
        <w:jc w:val="both"/>
        <w:rPr>
          <w:b/>
          <w:color w:val="000000"/>
        </w:rPr>
      </w:pPr>
    </w:p>
    <w:p w:rsidR="00381605" w:rsidRPr="00BE0E8C" w:rsidRDefault="00381605" w:rsidP="00381605">
      <w:pPr>
        <w:pStyle w:val="NormalWeb"/>
        <w:shd w:val="clear" w:color="auto" w:fill="FFFFFF"/>
        <w:spacing w:before="0" w:beforeAutospacing="0" w:after="0" w:afterAutospacing="0"/>
        <w:jc w:val="both"/>
        <w:rPr>
          <w:b/>
          <w:color w:val="000000"/>
        </w:rPr>
      </w:pPr>
    </w:p>
    <w:p w:rsidR="00B51CB8" w:rsidRPr="00BE0E8C" w:rsidRDefault="002540CC" w:rsidP="00B51CB8">
      <w:pPr>
        <w:pStyle w:val="NormalWeb"/>
        <w:shd w:val="clear" w:color="auto" w:fill="FFFFFF"/>
        <w:spacing w:before="0" w:beforeAutospacing="0" w:after="0" w:afterAutospacing="0"/>
        <w:jc w:val="both"/>
        <w:rPr>
          <w:b/>
          <w:color w:val="000000"/>
        </w:rPr>
      </w:pPr>
      <w:r>
        <w:rPr>
          <w:b/>
          <w:color w:val="000000"/>
        </w:rPr>
        <w:t>8</w:t>
      </w:r>
      <w:r w:rsidR="0092508D">
        <w:rPr>
          <w:b/>
          <w:color w:val="000000"/>
        </w:rPr>
        <w:t xml:space="preserve">. </w:t>
      </w:r>
      <w:r w:rsidR="00B51CB8" w:rsidRPr="00BE0E8C">
        <w:rPr>
          <w:b/>
          <w:color w:val="000000"/>
        </w:rPr>
        <w:t>Strengthening of Grievance Redress Mechanism in Banks</w:t>
      </w:r>
    </w:p>
    <w:p w:rsidR="00B51CB8" w:rsidRPr="00BE0E8C" w:rsidRDefault="00B51CB8" w:rsidP="00B51CB8">
      <w:pPr>
        <w:pStyle w:val="NormalWeb"/>
        <w:shd w:val="clear" w:color="auto" w:fill="FFFFFF"/>
        <w:spacing w:before="0" w:beforeAutospacing="0" w:after="0" w:afterAutospacing="0"/>
        <w:jc w:val="both"/>
        <w:rPr>
          <w:b/>
          <w:color w:val="000000"/>
        </w:rPr>
      </w:pPr>
    </w:p>
    <w:p w:rsidR="00B51CB8" w:rsidRPr="00BE0E8C" w:rsidRDefault="00B51CB8" w:rsidP="00B51CB8">
      <w:pPr>
        <w:pStyle w:val="NormalWeb"/>
        <w:shd w:val="clear" w:color="auto" w:fill="FFFFFF"/>
        <w:spacing w:before="0" w:beforeAutospacing="0" w:after="0" w:afterAutospacing="0"/>
        <w:jc w:val="both"/>
        <w:rPr>
          <w:b/>
          <w:color w:val="000000"/>
        </w:rPr>
      </w:pPr>
      <w:r w:rsidRPr="00BE0E8C">
        <w:rPr>
          <w:b/>
          <w:color w:val="000000"/>
        </w:rPr>
        <w:lastRenderedPageBreak/>
        <w:t>RBI/2020-21/87 CEPD.CO.PRD.Cir.No.01/13.01.013/2020-21</w:t>
      </w:r>
      <w:r w:rsidRPr="00BE0E8C">
        <w:rPr>
          <w:b/>
          <w:color w:val="000000"/>
        </w:rPr>
        <w:tab/>
      </w:r>
      <w:r w:rsidRPr="00BE0E8C">
        <w:rPr>
          <w:b/>
          <w:color w:val="000000"/>
        </w:rPr>
        <w:tab/>
        <w:t>January 27, 2021</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color w:val="000000"/>
        </w:rPr>
      </w:pPr>
      <w:r w:rsidRPr="00BE0E8C">
        <w:rPr>
          <w:color w:val="000000"/>
        </w:rPr>
        <w:t>Please refer to the ‘</w:t>
      </w:r>
      <w:hyperlink r:id="rId42" w:tgtFrame="_blank" w:history="1">
        <w:r w:rsidRPr="00BE0E8C">
          <w:rPr>
            <w:rStyle w:val="Hyperlink"/>
          </w:rPr>
          <w:t>Statement on Developmental and Regulatory Policies</w:t>
        </w:r>
      </w:hyperlink>
      <w:r w:rsidRPr="00BE0E8C">
        <w:rPr>
          <w:color w:val="000000"/>
        </w:rPr>
        <w:t>’ issued as part of the </w:t>
      </w:r>
      <w:hyperlink r:id="rId43"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44" w:anchor="AN1" w:history="1">
        <w:r w:rsidRPr="00BE0E8C">
          <w:rPr>
            <w:rStyle w:val="Hyperlink"/>
          </w:rPr>
          <w:t>Annex</w:t>
        </w:r>
      </w:hyperlink>
      <w:r w:rsidRPr="00BE0E8C">
        <w:rPr>
          <w:color w:val="000000"/>
        </w:rPr>
        <w:t>.</w:t>
      </w:r>
    </w:p>
    <w:p w:rsidR="00B51CB8" w:rsidRPr="00BE0E8C" w:rsidRDefault="00B51CB8" w:rsidP="00B51CB8">
      <w:pPr>
        <w:pStyle w:val="NormalWeb"/>
        <w:shd w:val="clear" w:color="auto" w:fill="FFFFFF"/>
        <w:spacing w:before="0" w:beforeAutospacing="0" w:after="0" w:afterAutospacing="0"/>
        <w:jc w:val="both"/>
        <w:rPr>
          <w:color w:val="000000"/>
        </w:rPr>
      </w:pPr>
    </w:p>
    <w:p w:rsidR="00B51CB8" w:rsidRPr="00BE0E8C" w:rsidRDefault="00B51CB8" w:rsidP="00B51CB8">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B51CB8" w:rsidRPr="00BE0E8C" w:rsidRDefault="00B51CB8" w:rsidP="00B51CB8">
      <w:pPr>
        <w:pStyle w:val="NormalWeb"/>
        <w:pBdr>
          <w:bottom w:val="single" w:sz="12" w:space="1" w:color="auto"/>
        </w:pBdr>
        <w:shd w:val="clear" w:color="auto" w:fill="FFFFFF"/>
        <w:spacing w:before="0" w:beforeAutospacing="0" w:after="0" w:afterAutospacing="0"/>
        <w:jc w:val="both"/>
        <w:rPr>
          <w:color w:val="000000"/>
        </w:rPr>
      </w:pPr>
    </w:p>
    <w:p w:rsidR="00B51CB8" w:rsidRPr="00BE0E8C" w:rsidRDefault="00673F6C" w:rsidP="00B51CB8">
      <w:pPr>
        <w:pStyle w:val="NormalWeb"/>
        <w:pBdr>
          <w:bottom w:val="single" w:sz="12" w:space="1" w:color="auto"/>
        </w:pBdr>
        <w:shd w:val="clear" w:color="auto" w:fill="FFFFFF"/>
        <w:spacing w:before="0" w:beforeAutospacing="0" w:after="0" w:afterAutospacing="0"/>
        <w:jc w:val="both"/>
        <w:rPr>
          <w:color w:val="000000"/>
        </w:rPr>
      </w:pPr>
      <w:hyperlink r:id="rId45" w:history="1">
        <w:r w:rsidR="00B51CB8" w:rsidRPr="00BE0E8C">
          <w:rPr>
            <w:rStyle w:val="Hyperlink"/>
          </w:rPr>
          <w:t>https://www.rbi.org.in/Scripts/NotificationUser.aspx?Id=12017&amp;Mode=0</w:t>
        </w:r>
      </w:hyperlink>
      <w:r w:rsidR="00B51CB8" w:rsidRPr="00BE0E8C">
        <w:rPr>
          <w:color w:val="000000"/>
        </w:rPr>
        <w:t xml:space="preserve"> </w:t>
      </w:r>
    </w:p>
    <w:p w:rsidR="00B51CB8" w:rsidRPr="00BE0E8C" w:rsidRDefault="00B51CB8" w:rsidP="00B51CB8">
      <w:pPr>
        <w:pStyle w:val="NormalWeb"/>
        <w:shd w:val="clear" w:color="auto" w:fill="FFFFFF"/>
        <w:spacing w:before="0" w:beforeAutospacing="0" w:after="0" w:afterAutospacing="0"/>
        <w:jc w:val="both"/>
        <w:rPr>
          <w:b/>
          <w:color w:val="000000"/>
        </w:rPr>
      </w:pPr>
    </w:p>
    <w:p w:rsidR="00681432" w:rsidRPr="00174F55" w:rsidRDefault="00681432">
      <w:pPr>
        <w:rPr>
          <w:b/>
          <w:color w:val="2E74B5" w:themeColor="accent1" w:themeShade="BF"/>
        </w:rPr>
      </w:pPr>
    </w:p>
    <w:sectPr w:rsidR="00681432" w:rsidRPr="0017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174F55"/>
    <w:rsid w:val="002540CC"/>
    <w:rsid w:val="002F036D"/>
    <w:rsid w:val="00381605"/>
    <w:rsid w:val="00394F30"/>
    <w:rsid w:val="00424F88"/>
    <w:rsid w:val="00432068"/>
    <w:rsid w:val="0050658A"/>
    <w:rsid w:val="00673F6C"/>
    <w:rsid w:val="00681432"/>
    <w:rsid w:val="00731C1A"/>
    <w:rsid w:val="00771F97"/>
    <w:rsid w:val="0092508D"/>
    <w:rsid w:val="00A20D26"/>
    <w:rsid w:val="00A939C1"/>
    <w:rsid w:val="00A9777D"/>
    <w:rsid w:val="00B51CB8"/>
    <w:rsid w:val="00BF6C68"/>
    <w:rsid w:val="00C26590"/>
    <w:rsid w:val="00D63255"/>
    <w:rsid w:val="00E4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43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81432"/>
    <w:rPr>
      <w:color w:val="0000FF"/>
      <w:u w:val="single"/>
    </w:rPr>
  </w:style>
  <w:style w:type="paragraph" w:customStyle="1" w:styleId="head">
    <w:name w:val="head"/>
    <w:basedOn w:val="Normal"/>
    <w:rsid w:val="00771F9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77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561361044">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51&amp;Mode=0" TargetMode="External"/><Relationship Id="rId13" Type="http://schemas.openxmlformats.org/officeDocument/2006/relationships/hyperlink" Target="https://www.rbi.org.in/Scripts/NotificationUser.aspx?Id=8603&amp;Mode=0" TargetMode="External"/><Relationship Id="rId18" Type="http://schemas.openxmlformats.org/officeDocument/2006/relationships/hyperlink" Target="https://www.rbi.org.in/Scripts/NotificationUser.aspx?Id=12066&amp;Mode=0" TargetMode="External"/><Relationship Id="rId26" Type="http://schemas.openxmlformats.org/officeDocument/2006/relationships/hyperlink" Target="https://rbi.org.in/Scripts/NotificationUser.aspx?Id=10227&amp;Mode=0" TargetMode="External"/><Relationship Id="rId39" Type="http://schemas.openxmlformats.org/officeDocument/2006/relationships/hyperlink" Target="mailto:helpdpss@rbi.org.in" TargetMode="External"/><Relationship Id="rId3" Type="http://schemas.openxmlformats.org/officeDocument/2006/relationships/settings" Target="settings.xml"/><Relationship Id="rId21" Type="http://schemas.openxmlformats.org/officeDocument/2006/relationships/hyperlink" Target="https://www.rbi.org.in/scripts/FS_Notification.aspx?Id=11959&amp;fn=2754&amp;Mode=0" TargetMode="External"/><Relationship Id="rId34" Type="http://schemas.openxmlformats.org/officeDocument/2006/relationships/hyperlink" Target="https://rbidocs.rbi.org.in/rdocs/content/pdfs/05MC01042021_A4.pdf" TargetMode="External"/><Relationship Id="rId42" Type="http://schemas.openxmlformats.org/officeDocument/2006/relationships/hyperlink" Target="https://www.rbi.org.in/Scripts/BS_PressReleaseDisplay.aspx?prid=50748" TargetMode="External"/><Relationship Id="rId47" Type="http://schemas.openxmlformats.org/officeDocument/2006/relationships/theme" Target="theme/theme1.xml"/><Relationship Id="rId7" Type="http://schemas.openxmlformats.org/officeDocument/2006/relationships/hyperlink" Target="https://rbidocs.rbi.org.in/rdocs/content/pdfs/IndianGazzate02072020.pdf" TargetMode="External"/><Relationship Id="rId12" Type="http://schemas.openxmlformats.org/officeDocument/2006/relationships/hyperlink" Target="https://www.rbi.org.in/Scripts/BS_ViewMasCirculardetails.aspx?id=12063" TargetMode="External"/><Relationship Id="rId17" Type="http://schemas.openxmlformats.org/officeDocument/2006/relationships/hyperlink" Target="mailto:nulmfidd@rbi.org.in" TargetMode="External"/><Relationship Id="rId25" Type="http://schemas.openxmlformats.org/officeDocument/2006/relationships/hyperlink" Target="https://rbi.org.in/Scripts/NotificationUser.aspx?Id=10449&amp;Mode=0" TargetMode="External"/><Relationship Id="rId33" Type="http://schemas.openxmlformats.org/officeDocument/2006/relationships/hyperlink" Target="https://www.rbi.org.in/Scripts/BS_ViewMasDirections.aspx?id=11566" TargetMode="External"/><Relationship Id="rId38" Type="http://schemas.openxmlformats.org/officeDocument/2006/relationships/hyperlink" Target="https://www.rbi.org.in/Scripts/BS_PressReleaseDisplay.aspx?prid=5107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docs.rbi.org.in/rdocs/content/pdfs/MC12_05042021AN2.pdf" TargetMode="External"/><Relationship Id="rId20" Type="http://schemas.openxmlformats.org/officeDocument/2006/relationships/hyperlink" Target="https://rbi.org.in/Scripts/BS_ViewMasDirections.aspx?id=10295" TargetMode="External"/><Relationship Id="rId29" Type="http://schemas.openxmlformats.org/officeDocument/2006/relationships/hyperlink" Target="https://www.rbi.org.in/Scripts/NotificationUser.aspx?Id=8075&amp;Mode=0" TargetMode="External"/><Relationship Id="rId41" Type="http://schemas.openxmlformats.org/officeDocument/2006/relationships/hyperlink" Target="https://www.rbi.org.in/Scripts/BS_PressReleaseDisplay.aspx?prid=51078" TargetMode="Externa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11" Type="http://schemas.openxmlformats.org/officeDocument/2006/relationships/hyperlink" Target="https://www.rbi.org.in/Scripts/NotificationUser.aspx?Id=5657&amp;Mode=0" TargetMode="External"/><Relationship Id="rId24" Type="http://schemas.openxmlformats.org/officeDocument/2006/relationships/hyperlink" Target="https://rbidocs.rbi.org.in/rdocs/content/pdfs/SHGLPR210515_AN.pdf" TargetMode="External"/><Relationship Id="rId32" Type="http://schemas.openxmlformats.org/officeDocument/2006/relationships/hyperlink" Target="https://www.rbi.org.in/Scripts/NotificationUser.aspx?Id=12062&amp;Mode=0" TargetMode="External"/><Relationship Id="rId37" Type="http://schemas.openxmlformats.org/officeDocument/2006/relationships/hyperlink" Target="https://www.rbi.org.in/Scripts/BS_ViewMasDirections.aspx?id=11566" TargetMode="External"/><Relationship Id="rId40" Type="http://schemas.openxmlformats.org/officeDocument/2006/relationships/hyperlink" Target="https://www.rbi.org.in/Scripts/NotificationUser.aspx?Id=11841&amp;Mode=0" TargetMode="External"/><Relationship Id="rId45" Type="http://schemas.openxmlformats.org/officeDocument/2006/relationships/hyperlink" Target="https://www.rbi.org.in/Scripts/NotificationUser.aspx?Id=12017&amp;Mode=0" TargetMode="External"/><Relationship Id="rId5" Type="http://schemas.openxmlformats.org/officeDocument/2006/relationships/hyperlink" Target="https://www.rbi.org.in/Scripts/NotificationUser.aspx?Id=11951&amp;Mode=0" TargetMode="External"/><Relationship Id="rId15" Type="http://schemas.openxmlformats.org/officeDocument/2006/relationships/hyperlink" Target="https://rbidocs.rbi.org.in/rdocs/content/pdfs/MC12_05042021AN1.pdf" TargetMode="External"/><Relationship Id="rId23" Type="http://schemas.openxmlformats.org/officeDocument/2006/relationships/hyperlink" Target="https://www.rbi.org.in/FinancialEducation/content/04SELFHELP20042018.pdf" TargetMode="External"/><Relationship Id="rId28" Type="http://schemas.openxmlformats.org/officeDocument/2006/relationships/hyperlink" Target="https://www.rbi.org.in/Scripts/BS_ViewMasCirculardetails.aspx?id=11967" TargetMode="External"/><Relationship Id="rId36" Type="http://schemas.openxmlformats.org/officeDocument/2006/relationships/hyperlink" Target="https://www.rbi.org.in/Scripts/NotificationUser.aspx?Id=12062&amp;Mode=0" TargetMode="External"/><Relationship Id="rId10" Type="http://schemas.openxmlformats.org/officeDocument/2006/relationships/hyperlink" Target="https://www.paisaportal.in/" TargetMode="External"/><Relationship Id="rId19" Type="http://schemas.openxmlformats.org/officeDocument/2006/relationships/hyperlink" Target="https://rbi.org.in/Scripts/BS_ViewMasDirections.aspx?id=11566" TargetMode="External"/><Relationship Id="rId31" Type="http://schemas.openxmlformats.org/officeDocument/2006/relationships/hyperlink" Target="https://www.rbi.org.in/Scripts/NotificationUser.aspx?Id=12062&amp;Mode=0" TargetMode="External"/><Relationship Id="rId44" Type="http://schemas.openxmlformats.org/officeDocument/2006/relationships/hyperlink" Target="https://www.rbi.org.in/Scripts/NotificationUser.aspx?Id=12017&amp;Mode=0" TargetMode="External"/><Relationship Id="rId4" Type="http://schemas.openxmlformats.org/officeDocument/2006/relationships/webSettings" Target="webSettings.xml"/><Relationship Id="rId9" Type="http://schemas.openxmlformats.org/officeDocument/2006/relationships/hyperlink" Target="https://www.rbi.org.in/Scripts/BS_ViewMasCirculardetails.aspx?id=11615" TargetMode="External"/><Relationship Id="rId14" Type="http://schemas.openxmlformats.org/officeDocument/2006/relationships/hyperlink" Target="https://www.rbi.org.in/" TargetMode="External"/><Relationship Id="rId22" Type="http://schemas.openxmlformats.org/officeDocument/2006/relationships/hyperlink" Target="https://www.rbi.org.in/Scripts/NotificationUser.aspx?Id=10869&amp;Mode=0" TargetMode="External"/><Relationship Id="rId27" Type="http://schemas.openxmlformats.org/officeDocument/2006/relationships/hyperlink" Target="https://www.rbi.org.in/Scripts/NotificationUser.aspx?Id=12063&amp;Mode=0" TargetMode="External"/><Relationship Id="rId30" Type="http://schemas.openxmlformats.org/officeDocument/2006/relationships/hyperlink" Target="https://www.rbi.org.in/Scripts/NotificationUser.aspx?Id=12062&amp;Mode=0" TargetMode="External"/><Relationship Id="rId35" Type="http://schemas.openxmlformats.org/officeDocument/2006/relationships/hyperlink" Target="https://rbidocs.rbi.org.in/rdocs/content/pdfs/05MC01042021_A5.pdf" TargetMode="External"/><Relationship Id="rId43" Type="http://schemas.openxmlformats.org/officeDocument/2006/relationships/hyperlink" Target="https://www.rbi.org.in/Scripts/BS_PressReleaseDisplay.aspx?prid=50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11073</Words>
  <Characters>63118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2021-07-17T14:09:00Z</dcterms:created>
  <dcterms:modified xsi:type="dcterms:W3CDTF">2021-07-17T14:09:00Z</dcterms:modified>
</cp:coreProperties>
</file>