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C68" w:rsidRPr="00432068" w:rsidRDefault="00D54015">
      <w:pPr>
        <w:rPr>
          <w:b/>
          <w:color w:val="2E74B5" w:themeColor="accent1" w:themeShade="BF"/>
          <w:sz w:val="24"/>
        </w:rPr>
      </w:pPr>
      <w:bookmarkStart w:id="0" w:name="_GoBack"/>
      <w:bookmarkEnd w:id="0"/>
      <w:r>
        <w:rPr>
          <w:b/>
          <w:color w:val="2E74B5" w:themeColor="accent1" w:themeShade="BF"/>
          <w:sz w:val="24"/>
        </w:rPr>
        <w:t>Debt Recovery Agents</w:t>
      </w:r>
    </w:p>
    <w:tbl>
      <w:tblPr>
        <w:tblW w:w="9320" w:type="dxa"/>
        <w:tblLook w:val="04A0" w:firstRow="1" w:lastRow="0" w:firstColumn="1" w:lastColumn="0" w:noHBand="0" w:noVBand="1"/>
      </w:tblPr>
      <w:tblGrid>
        <w:gridCol w:w="779"/>
        <w:gridCol w:w="8541"/>
      </w:tblGrid>
      <w:tr w:rsidR="00BF62C5" w:rsidRPr="000A24A2" w:rsidTr="000A24A2">
        <w:trPr>
          <w:trHeight w:val="510"/>
        </w:trPr>
        <w:tc>
          <w:tcPr>
            <w:tcW w:w="715" w:type="dxa"/>
            <w:tcBorders>
              <w:top w:val="single" w:sz="4" w:space="0" w:color="auto"/>
              <w:left w:val="single" w:sz="4" w:space="0" w:color="auto"/>
              <w:bottom w:val="single" w:sz="4" w:space="0" w:color="auto"/>
              <w:right w:val="single" w:sz="4" w:space="0" w:color="auto"/>
            </w:tcBorders>
          </w:tcPr>
          <w:p w:rsidR="00BF62C5" w:rsidRPr="000A24A2" w:rsidRDefault="00BF62C5" w:rsidP="000A24A2">
            <w:pPr>
              <w:spacing w:after="0" w:line="240" w:lineRule="auto"/>
              <w:jc w:val="center"/>
              <w:rPr>
                <w:rFonts w:ascii="Calibri" w:eastAsia="Times New Roman" w:hAnsi="Calibri" w:cs="Calibri"/>
                <w:b/>
                <w:bCs/>
                <w:color w:val="000000"/>
                <w:szCs w:val="20"/>
              </w:rPr>
            </w:pPr>
            <w:proofErr w:type="spellStart"/>
            <w:r w:rsidRPr="000A24A2">
              <w:rPr>
                <w:rFonts w:ascii="Calibri" w:eastAsia="Times New Roman" w:hAnsi="Calibri" w:cs="Calibri"/>
                <w:b/>
                <w:bCs/>
                <w:color w:val="000000"/>
                <w:szCs w:val="20"/>
              </w:rPr>
              <w:t>Sr.No</w:t>
            </w:r>
            <w:proofErr w:type="spellEnd"/>
            <w:r w:rsidRPr="000A24A2">
              <w:rPr>
                <w:rFonts w:ascii="Calibri" w:eastAsia="Times New Roman" w:hAnsi="Calibri" w:cs="Calibri"/>
                <w:b/>
                <w:bCs/>
                <w:color w:val="000000"/>
                <w:szCs w:val="20"/>
              </w:rPr>
              <w:t>.</w:t>
            </w:r>
          </w:p>
        </w:tc>
        <w:tc>
          <w:tcPr>
            <w:tcW w:w="8605" w:type="dxa"/>
            <w:tcBorders>
              <w:top w:val="single" w:sz="4" w:space="0" w:color="auto"/>
              <w:left w:val="single" w:sz="4" w:space="0" w:color="auto"/>
              <w:bottom w:val="single" w:sz="4" w:space="0" w:color="auto"/>
              <w:right w:val="single" w:sz="4" w:space="0" w:color="auto"/>
            </w:tcBorders>
            <w:shd w:val="clear" w:color="auto" w:fill="auto"/>
            <w:hideMark/>
          </w:tcPr>
          <w:p w:rsidR="00BF62C5" w:rsidRPr="000A24A2" w:rsidRDefault="00BF62C5" w:rsidP="000A24A2">
            <w:pPr>
              <w:spacing w:after="0" w:line="240" w:lineRule="auto"/>
              <w:jc w:val="center"/>
              <w:rPr>
                <w:rFonts w:ascii="Calibri" w:eastAsia="Times New Roman" w:hAnsi="Calibri" w:cs="Calibri"/>
                <w:b/>
                <w:bCs/>
                <w:color w:val="000000"/>
                <w:szCs w:val="20"/>
              </w:rPr>
            </w:pPr>
            <w:r w:rsidRPr="000A24A2">
              <w:rPr>
                <w:rFonts w:ascii="Calibri" w:eastAsia="Times New Roman" w:hAnsi="Calibri" w:cs="Calibri"/>
                <w:b/>
                <w:bCs/>
                <w:color w:val="000000"/>
                <w:szCs w:val="20"/>
              </w:rPr>
              <w:t>RBI Notifications</w:t>
            </w:r>
          </w:p>
        </w:tc>
      </w:tr>
      <w:tr w:rsidR="00BF62C5" w:rsidRPr="000A24A2" w:rsidTr="000A24A2">
        <w:trPr>
          <w:trHeight w:val="510"/>
        </w:trPr>
        <w:tc>
          <w:tcPr>
            <w:tcW w:w="715" w:type="dxa"/>
            <w:tcBorders>
              <w:top w:val="nil"/>
              <w:left w:val="single" w:sz="4" w:space="0" w:color="auto"/>
              <w:bottom w:val="single" w:sz="4" w:space="0" w:color="auto"/>
              <w:right w:val="single" w:sz="4" w:space="0" w:color="auto"/>
            </w:tcBorders>
          </w:tcPr>
          <w:p w:rsidR="00BF62C5" w:rsidRPr="000A24A2" w:rsidRDefault="00BF62C5" w:rsidP="00BF62C5">
            <w:pPr>
              <w:spacing w:after="0" w:line="240" w:lineRule="auto"/>
              <w:rPr>
                <w:rFonts w:ascii="Calibri" w:eastAsia="Times New Roman" w:hAnsi="Calibri" w:cs="Calibri"/>
                <w:color w:val="000000"/>
                <w:szCs w:val="20"/>
              </w:rPr>
            </w:pPr>
            <w:r w:rsidRPr="000A24A2">
              <w:rPr>
                <w:rFonts w:ascii="Calibri" w:eastAsia="Times New Roman" w:hAnsi="Calibri" w:cs="Calibri"/>
                <w:color w:val="000000"/>
                <w:szCs w:val="20"/>
              </w:rPr>
              <w:t>1</w:t>
            </w:r>
          </w:p>
        </w:tc>
        <w:tc>
          <w:tcPr>
            <w:tcW w:w="8605" w:type="dxa"/>
            <w:tcBorders>
              <w:top w:val="nil"/>
              <w:left w:val="single" w:sz="4" w:space="0" w:color="auto"/>
              <w:bottom w:val="single" w:sz="4" w:space="0" w:color="auto"/>
              <w:right w:val="single" w:sz="4" w:space="0" w:color="auto"/>
            </w:tcBorders>
            <w:shd w:val="clear" w:color="auto" w:fill="auto"/>
            <w:hideMark/>
          </w:tcPr>
          <w:p w:rsidR="00BF62C5" w:rsidRPr="000A24A2" w:rsidRDefault="00BF62C5" w:rsidP="00BF62C5">
            <w:pPr>
              <w:spacing w:after="0" w:line="240" w:lineRule="auto"/>
              <w:rPr>
                <w:rFonts w:ascii="Calibri" w:eastAsia="Times New Roman" w:hAnsi="Calibri" w:cs="Calibri"/>
                <w:color w:val="000000"/>
                <w:szCs w:val="20"/>
              </w:rPr>
            </w:pPr>
            <w:r w:rsidRPr="000A24A2">
              <w:rPr>
                <w:rFonts w:ascii="Calibri" w:eastAsia="Times New Roman" w:hAnsi="Calibri" w:cs="Calibri"/>
                <w:color w:val="000000"/>
                <w:szCs w:val="20"/>
              </w:rPr>
              <w:t>New Definition of Micro, Small and Medium Enterprises</w:t>
            </w:r>
          </w:p>
        </w:tc>
      </w:tr>
      <w:tr w:rsidR="00BF62C5" w:rsidRPr="000A24A2" w:rsidTr="000A24A2">
        <w:trPr>
          <w:trHeight w:val="510"/>
        </w:trPr>
        <w:tc>
          <w:tcPr>
            <w:tcW w:w="715" w:type="dxa"/>
            <w:tcBorders>
              <w:top w:val="nil"/>
              <w:left w:val="single" w:sz="4" w:space="0" w:color="auto"/>
              <w:bottom w:val="single" w:sz="4" w:space="0" w:color="auto"/>
              <w:right w:val="single" w:sz="4" w:space="0" w:color="auto"/>
            </w:tcBorders>
          </w:tcPr>
          <w:p w:rsidR="00BF62C5" w:rsidRPr="000A24A2" w:rsidRDefault="00BF62C5" w:rsidP="00BF62C5">
            <w:pPr>
              <w:spacing w:after="0" w:line="240" w:lineRule="auto"/>
              <w:rPr>
                <w:rFonts w:ascii="Calibri" w:eastAsia="Times New Roman" w:hAnsi="Calibri" w:cs="Calibri"/>
                <w:color w:val="000000"/>
                <w:szCs w:val="20"/>
              </w:rPr>
            </w:pPr>
            <w:r w:rsidRPr="000A24A2">
              <w:rPr>
                <w:rFonts w:ascii="Calibri" w:eastAsia="Times New Roman" w:hAnsi="Calibri" w:cs="Calibri"/>
                <w:color w:val="000000"/>
                <w:szCs w:val="20"/>
              </w:rPr>
              <w:t>2</w:t>
            </w:r>
          </w:p>
        </w:tc>
        <w:tc>
          <w:tcPr>
            <w:tcW w:w="8605" w:type="dxa"/>
            <w:tcBorders>
              <w:top w:val="nil"/>
              <w:left w:val="single" w:sz="4" w:space="0" w:color="auto"/>
              <w:bottom w:val="single" w:sz="4" w:space="0" w:color="auto"/>
              <w:right w:val="single" w:sz="4" w:space="0" w:color="auto"/>
            </w:tcBorders>
            <w:shd w:val="clear" w:color="auto" w:fill="auto"/>
            <w:hideMark/>
          </w:tcPr>
          <w:p w:rsidR="00BF62C5" w:rsidRPr="000A24A2" w:rsidRDefault="00BF62C5" w:rsidP="00BF62C5">
            <w:pPr>
              <w:spacing w:after="0" w:line="240" w:lineRule="auto"/>
              <w:rPr>
                <w:rFonts w:ascii="Calibri" w:eastAsia="Times New Roman" w:hAnsi="Calibri" w:cs="Calibri"/>
                <w:color w:val="000000"/>
                <w:szCs w:val="20"/>
              </w:rPr>
            </w:pPr>
            <w:r w:rsidRPr="000A24A2">
              <w:rPr>
                <w:rFonts w:ascii="Calibri" w:eastAsia="Times New Roman" w:hAnsi="Calibri" w:cs="Calibri"/>
                <w:color w:val="000000"/>
                <w:szCs w:val="20"/>
              </w:rPr>
              <w:t>Amendment to Master Direction (MD) on KYC – KYC norms for Self Help Groups (SHGs)</w:t>
            </w:r>
          </w:p>
        </w:tc>
      </w:tr>
      <w:tr w:rsidR="00BF62C5" w:rsidRPr="000A24A2" w:rsidTr="000A24A2">
        <w:trPr>
          <w:trHeight w:val="510"/>
        </w:trPr>
        <w:tc>
          <w:tcPr>
            <w:tcW w:w="715" w:type="dxa"/>
            <w:tcBorders>
              <w:top w:val="nil"/>
              <w:left w:val="single" w:sz="4" w:space="0" w:color="auto"/>
              <w:bottom w:val="single" w:sz="4" w:space="0" w:color="auto"/>
              <w:right w:val="single" w:sz="4" w:space="0" w:color="auto"/>
            </w:tcBorders>
          </w:tcPr>
          <w:p w:rsidR="00BF62C5" w:rsidRPr="000A24A2" w:rsidRDefault="00BF62C5" w:rsidP="00BF62C5">
            <w:pPr>
              <w:spacing w:after="0" w:line="240" w:lineRule="auto"/>
              <w:rPr>
                <w:rFonts w:ascii="Calibri" w:eastAsia="Times New Roman" w:hAnsi="Calibri" w:cs="Calibri"/>
                <w:color w:val="000000"/>
                <w:szCs w:val="20"/>
              </w:rPr>
            </w:pPr>
            <w:r w:rsidRPr="000A24A2">
              <w:rPr>
                <w:rFonts w:ascii="Calibri" w:eastAsia="Times New Roman" w:hAnsi="Calibri" w:cs="Calibri"/>
                <w:color w:val="000000"/>
                <w:szCs w:val="20"/>
              </w:rPr>
              <w:t>3</w:t>
            </w:r>
          </w:p>
        </w:tc>
        <w:tc>
          <w:tcPr>
            <w:tcW w:w="8605" w:type="dxa"/>
            <w:tcBorders>
              <w:top w:val="nil"/>
              <w:left w:val="single" w:sz="4" w:space="0" w:color="auto"/>
              <w:bottom w:val="single" w:sz="4" w:space="0" w:color="auto"/>
              <w:right w:val="single" w:sz="4" w:space="0" w:color="auto"/>
            </w:tcBorders>
            <w:shd w:val="clear" w:color="auto" w:fill="auto"/>
            <w:hideMark/>
          </w:tcPr>
          <w:p w:rsidR="00BF62C5" w:rsidRPr="000A24A2" w:rsidRDefault="00BF62C5" w:rsidP="00BF62C5">
            <w:pPr>
              <w:spacing w:after="0" w:line="240" w:lineRule="auto"/>
              <w:rPr>
                <w:rFonts w:ascii="Calibri" w:eastAsia="Times New Roman" w:hAnsi="Calibri" w:cs="Calibri"/>
                <w:color w:val="000000"/>
                <w:szCs w:val="20"/>
              </w:rPr>
            </w:pPr>
            <w:r w:rsidRPr="000A24A2">
              <w:rPr>
                <w:rFonts w:ascii="Calibri" w:eastAsia="Times New Roman" w:hAnsi="Calibri" w:cs="Calibri"/>
                <w:color w:val="000000"/>
                <w:szCs w:val="20"/>
              </w:rPr>
              <w:t>Strengthening of Grievance Redress Mechanism in Banks</w:t>
            </w:r>
          </w:p>
        </w:tc>
      </w:tr>
    </w:tbl>
    <w:p w:rsidR="00174F55" w:rsidRDefault="00174F55">
      <w:pPr>
        <w:rPr>
          <w:b/>
          <w:color w:val="2E74B5" w:themeColor="accent1" w:themeShade="BF"/>
        </w:rPr>
      </w:pPr>
    </w:p>
    <w:p w:rsidR="00F55DE4" w:rsidRPr="00C760EA" w:rsidRDefault="00F55DE4" w:rsidP="00F55DE4">
      <w:pPr>
        <w:pStyle w:val="NormalWeb"/>
        <w:shd w:val="clear" w:color="auto" w:fill="FFFFFF"/>
        <w:spacing w:before="0" w:beforeAutospacing="0" w:after="0" w:afterAutospacing="0"/>
        <w:jc w:val="both"/>
        <w:rPr>
          <w:b/>
          <w:bCs/>
          <w:color w:val="000000"/>
        </w:rPr>
      </w:pPr>
      <w:r>
        <w:rPr>
          <w:b/>
          <w:bCs/>
          <w:color w:val="000000"/>
        </w:rPr>
        <w:t xml:space="preserve">1. </w:t>
      </w:r>
      <w:r w:rsidRPr="00C760EA">
        <w:rPr>
          <w:b/>
          <w:bCs/>
          <w:color w:val="000000"/>
        </w:rPr>
        <w:t>New Definition of Micro, Small and Medium Enterprises</w:t>
      </w:r>
    </w:p>
    <w:p w:rsidR="00F55DE4" w:rsidRDefault="00F55DE4" w:rsidP="00F55DE4">
      <w:pPr>
        <w:pStyle w:val="NormalWeb"/>
        <w:shd w:val="clear" w:color="auto" w:fill="FFFFFF"/>
        <w:spacing w:before="0" w:beforeAutospacing="0" w:after="0" w:afterAutospacing="0"/>
        <w:jc w:val="both"/>
        <w:rPr>
          <w:color w:val="000000"/>
        </w:rPr>
      </w:pPr>
    </w:p>
    <w:p w:rsidR="00F55DE4" w:rsidRPr="00544DBA" w:rsidRDefault="00F55DE4" w:rsidP="00F55DE4">
      <w:pPr>
        <w:pStyle w:val="NormalWeb"/>
        <w:shd w:val="clear" w:color="auto" w:fill="FFFFFF"/>
        <w:spacing w:before="0" w:beforeAutospacing="0" w:after="0" w:afterAutospacing="0"/>
        <w:jc w:val="both"/>
        <w:rPr>
          <w:b/>
          <w:color w:val="000000"/>
        </w:rPr>
      </w:pPr>
      <w:r w:rsidRPr="00544DBA">
        <w:rPr>
          <w:b/>
          <w:color w:val="000000"/>
        </w:rPr>
        <w:t xml:space="preserve">RBI/2021-2022/63 FIDD.MSME &amp; NFS.BC.No.12/06.02.31/2021-22 </w:t>
      </w:r>
      <w:r w:rsidRPr="00544DBA">
        <w:rPr>
          <w:b/>
          <w:color w:val="000000"/>
        </w:rPr>
        <w:tab/>
        <w:t>June 25, 2021</w:t>
      </w:r>
    </w:p>
    <w:p w:rsidR="00F55DE4" w:rsidRDefault="00F55DE4" w:rsidP="00F55DE4">
      <w:pPr>
        <w:pStyle w:val="NormalWeb"/>
        <w:shd w:val="clear" w:color="auto" w:fill="FFFFFF"/>
        <w:spacing w:before="0" w:beforeAutospacing="0" w:after="0" w:afterAutospacing="0"/>
        <w:jc w:val="both"/>
        <w:rPr>
          <w:i/>
          <w:color w:val="000000"/>
        </w:rPr>
      </w:pPr>
    </w:p>
    <w:p w:rsidR="00F55DE4" w:rsidRPr="00544DBA" w:rsidRDefault="00F55DE4" w:rsidP="00F55DE4">
      <w:pPr>
        <w:pStyle w:val="NormalWeb"/>
        <w:shd w:val="clear" w:color="auto" w:fill="FFFFFF"/>
        <w:spacing w:before="0" w:beforeAutospacing="0" w:after="0" w:afterAutospacing="0"/>
        <w:jc w:val="both"/>
        <w:rPr>
          <w:i/>
          <w:color w:val="000000"/>
        </w:rPr>
      </w:pPr>
      <w:r w:rsidRPr="00544DBA">
        <w:rPr>
          <w:i/>
          <w:color w:val="000000"/>
        </w:rPr>
        <w:t>The Chairman/ Managing Director/Chief Executive Officer, All Commercial Banks</w:t>
      </w:r>
      <w:r w:rsidRPr="00544DBA">
        <w:rPr>
          <w:i/>
          <w:color w:val="000000"/>
        </w:rPr>
        <w:br/>
        <w:t>(including Small Finance Banks, Local Area Banks and Regional Rural Banks) All Primary  (Urban) Co-operative Banks/State Co-operative Banks / District Central Co-operative Banks</w:t>
      </w:r>
      <w:r w:rsidRPr="00544DBA">
        <w:rPr>
          <w:i/>
          <w:color w:val="000000"/>
        </w:rPr>
        <w:br/>
        <w:t>All-India Financial Institutions All Non-Banking Financial Companies</w:t>
      </w:r>
    </w:p>
    <w:p w:rsidR="00F55DE4" w:rsidRDefault="00F55DE4" w:rsidP="00F55DE4">
      <w:pPr>
        <w:pStyle w:val="NormalWeb"/>
        <w:shd w:val="clear" w:color="auto" w:fill="FFFFFF"/>
        <w:spacing w:before="0" w:beforeAutospacing="0" w:after="0" w:afterAutospacing="0"/>
        <w:jc w:val="both"/>
        <w:rPr>
          <w:color w:val="000000"/>
        </w:rPr>
      </w:pPr>
    </w:p>
    <w:p w:rsidR="00F55DE4" w:rsidRPr="00C760EA" w:rsidRDefault="00F55DE4" w:rsidP="00F55DE4">
      <w:pPr>
        <w:pStyle w:val="NormalWeb"/>
        <w:shd w:val="clear" w:color="auto" w:fill="FFFFFF"/>
        <w:spacing w:before="0" w:beforeAutospacing="0" w:after="0" w:afterAutospacing="0"/>
        <w:jc w:val="both"/>
        <w:rPr>
          <w:color w:val="000000"/>
        </w:rPr>
      </w:pPr>
      <w:r w:rsidRPr="00C760EA">
        <w:rPr>
          <w:color w:val="000000"/>
        </w:rPr>
        <w:t>Please refer to the </w:t>
      </w:r>
      <w:hyperlink r:id="rId4" w:tgtFrame="_blank" w:history="1">
        <w:r w:rsidRPr="00C760EA">
          <w:rPr>
            <w:rStyle w:val="Hyperlink"/>
          </w:rPr>
          <w:t>circular FIDD.MSME &amp; NFS.BC.No.4/06.02.31/2020-21 dated August 21, 2020</w:t>
        </w:r>
      </w:hyperlink>
      <w:r w:rsidRPr="00C760EA">
        <w:rPr>
          <w:color w:val="000000"/>
        </w:rPr>
        <w:t> on ‘New Definition of Micro, Small and Medium Enterprises –clarifications’.</w:t>
      </w:r>
    </w:p>
    <w:p w:rsidR="00F55DE4" w:rsidRDefault="00F55DE4" w:rsidP="00F55DE4">
      <w:pPr>
        <w:pStyle w:val="NormalWeb"/>
        <w:shd w:val="clear" w:color="auto" w:fill="FFFFFF"/>
        <w:spacing w:before="0" w:beforeAutospacing="0" w:after="0" w:afterAutospacing="0"/>
        <w:jc w:val="both"/>
        <w:rPr>
          <w:color w:val="000000"/>
        </w:rPr>
      </w:pPr>
    </w:p>
    <w:p w:rsidR="00F55DE4" w:rsidRPr="00C760EA" w:rsidRDefault="00F55DE4" w:rsidP="00F55DE4">
      <w:pPr>
        <w:pStyle w:val="NormalWeb"/>
        <w:shd w:val="clear" w:color="auto" w:fill="FFFFFF"/>
        <w:spacing w:before="0" w:beforeAutospacing="0" w:after="0" w:afterAutospacing="0"/>
        <w:jc w:val="both"/>
        <w:rPr>
          <w:color w:val="000000"/>
        </w:rPr>
      </w:pPr>
      <w:r w:rsidRPr="00C760EA">
        <w:rPr>
          <w:color w:val="000000"/>
        </w:rPr>
        <w:t>2. In this connection, we inform that Government of India, vide their </w:t>
      </w:r>
      <w:hyperlink r:id="rId5" w:tgtFrame="_blank" w:history="1">
        <w:r w:rsidRPr="00C760EA">
          <w:rPr>
            <w:rStyle w:val="Hyperlink"/>
          </w:rPr>
          <w:t>Gazette Notification S.O. 2347(E) dated June 16, 2021</w:t>
        </w:r>
      </w:hyperlink>
      <w:r w:rsidRPr="00C760EA">
        <w:rPr>
          <w:color w:val="000000"/>
        </w:rPr>
        <w:t>, has notified amendments in paragraph (7) sub-paragraph (3) in the notification of Government of India, Ministry of Micro, Small and Medium Enterprises number </w:t>
      </w:r>
      <w:hyperlink r:id="rId6" w:tgtFrame="_blank" w:history="1">
        <w:r w:rsidRPr="00C760EA">
          <w:rPr>
            <w:rStyle w:val="Hyperlink"/>
          </w:rPr>
          <w:t>S.O. 2119 (E), dated June 26, 2020</w:t>
        </w:r>
      </w:hyperlink>
      <w:r w:rsidRPr="00C760EA">
        <w:rPr>
          <w:color w:val="000000"/>
        </w:rPr>
        <w:t>, published in the Gazette of India.</w:t>
      </w:r>
    </w:p>
    <w:p w:rsidR="00F55DE4" w:rsidRDefault="00F55DE4" w:rsidP="00F55DE4">
      <w:pPr>
        <w:pStyle w:val="NormalWeb"/>
        <w:shd w:val="clear" w:color="auto" w:fill="FFFFFF"/>
        <w:spacing w:before="0" w:beforeAutospacing="0" w:after="0" w:afterAutospacing="0"/>
        <w:jc w:val="both"/>
        <w:rPr>
          <w:color w:val="000000"/>
        </w:rPr>
      </w:pPr>
    </w:p>
    <w:p w:rsidR="00F55DE4" w:rsidRPr="00C760EA" w:rsidRDefault="00F55DE4" w:rsidP="00F55DE4">
      <w:pPr>
        <w:pStyle w:val="NormalWeb"/>
        <w:shd w:val="clear" w:color="auto" w:fill="FFFFFF"/>
        <w:spacing w:before="0" w:beforeAutospacing="0" w:after="0" w:afterAutospacing="0"/>
        <w:jc w:val="both"/>
        <w:rPr>
          <w:color w:val="000000"/>
        </w:rPr>
      </w:pPr>
      <w:r w:rsidRPr="00C760EA">
        <w:rPr>
          <w:color w:val="000000"/>
        </w:rPr>
        <w:t>3. In view of the above amendment, paragraph 2.2 (</w:t>
      </w:r>
      <w:proofErr w:type="spellStart"/>
      <w:r w:rsidRPr="00C760EA">
        <w:rPr>
          <w:color w:val="000000"/>
        </w:rPr>
        <w:t>i</w:t>
      </w:r>
      <w:proofErr w:type="spellEnd"/>
      <w:r w:rsidRPr="00C760EA">
        <w:rPr>
          <w:color w:val="000000"/>
        </w:rPr>
        <w:t>) of </w:t>
      </w:r>
      <w:hyperlink r:id="rId7" w:tgtFrame="_blank" w:history="1">
        <w:r w:rsidRPr="00C760EA">
          <w:rPr>
            <w:rStyle w:val="Hyperlink"/>
          </w:rPr>
          <w:t>RBI circular dated August 21, 2020</w:t>
        </w:r>
      </w:hyperlink>
      <w:r w:rsidRPr="00C760EA">
        <w:rPr>
          <w:color w:val="000000"/>
        </w:rPr>
        <w:t> stands modified as under:</w:t>
      </w:r>
    </w:p>
    <w:p w:rsidR="00F55DE4" w:rsidRPr="00C760EA" w:rsidRDefault="00F55DE4" w:rsidP="00F55DE4">
      <w:pPr>
        <w:pStyle w:val="NormalWeb"/>
        <w:shd w:val="clear" w:color="auto" w:fill="FFFFFF"/>
        <w:spacing w:before="0" w:beforeAutospacing="0" w:after="0" w:afterAutospacing="0"/>
        <w:jc w:val="both"/>
        <w:rPr>
          <w:color w:val="000000"/>
        </w:rPr>
      </w:pPr>
      <w:r w:rsidRPr="00C760EA">
        <w:rPr>
          <w:color w:val="000000"/>
        </w:rPr>
        <w:t xml:space="preserve">“The existing Entrepreneurs Memorandum (EM) Part II and </w:t>
      </w:r>
      <w:proofErr w:type="spellStart"/>
      <w:r w:rsidRPr="00C760EA">
        <w:rPr>
          <w:color w:val="000000"/>
        </w:rPr>
        <w:t>Udyog</w:t>
      </w:r>
      <w:proofErr w:type="spellEnd"/>
      <w:r w:rsidRPr="00C760EA">
        <w:rPr>
          <w:color w:val="000000"/>
        </w:rPr>
        <w:t xml:space="preserve"> </w:t>
      </w:r>
      <w:proofErr w:type="spellStart"/>
      <w:r w:rsidRPr="00C760EA">
        <w:rPr>
          <w:color w:val="000000"/>
        </w:rPr>
        <w:t>Aadhaar</w:t>
      </w:r>
      <w:proofErr w:type="spellEnd"/>
      <w:r w:rsidRPr="00C760EA">
        <w:rPr>
          <w:color w:val="000000"/>
        </w:rPr>
        <w:t xml:space="preserve"> Memorandum (UAMs) of the MSMEs obtained till June 30, 2020 shall remain valid till December 31, 2021”.</w:t>
      </w:r>
    </w:p>
    <w:p w:rsidR="00F55DE4" w:rsidRDefault="00F55DE4" w:rsidP="00F55DE4">
      <w:pPr>
        <w:pStyle w:val="NormalWeb"/>
        <w:pBdr>
          <w:bottom w:val="single" w:sz="12" w:space="1" w:color="auto"/>
        </w:pBdr>
        <w:shd w:val="clear" w:color="auto" w:fill="FFFFFF"/>
        <w:spacing w:before="0" w:beforeAutospacing="0" w:after="0" w:afterAutospacing="0"/>
        <w:jc w:val="both"/>
        <w:rPr>
          <w:color w:val="000000"/>
        </w:rPr>
      </w:pPr>
    </w:p>
    <w:p w:rsidR="00F55DE4" w:rsidRDefault="00F55DE4" w:rsidP="00F55DE4">
      <w:pPr>
        <w:pStyle w:val="NormalWeb"/>
        <w:pBdr>
          <w:bottom w:val="single" w:sz="12" w:space="1" w:color="auto"/>
        </w:pBdr>
        <w:shd w:val="clear" w:color="auto" w:fill="FFFFFF"/>
        <w:spacing w:before="0" w:beforeAutospacing="0" w:after="0" w:afterAutospacing="0"/>
        <w:jc w:val="both"/>
        <w:rPr>
          <w:color w:val="000000"/>
        </w:rPr>
      </w:pPr>
      <w:r w:rsidRPr="00C760EA">
        <w:rPr>
          <w:color w:val="000000"/>
        </w:rPr>
        <w:t>4. All other provisions of the circular remain unchanged.</w:t>
      </w:r>
    </w:p>
    <w:p w:rsidR="00F55DE4" w:rsidRPr="00C760EA" w:rsidRDefault="00F55DE4" w:rsidP="00F55DE4">
      <w:pPr>
        <w:pStyle w:val="NormalWeb"/>
        <w:pBdr>
          <w:bottom w:val="single" w:sz="12" w:space="1" w:color="auto"/>
        </w:pBdr>
        <w:shd w:val="clear" w:color="auto" w:fill="FFFFFF"/>
        <w:spacing w:before="0" w:beforeAutospacing="0" w:after="0" w:afterAutospacing="0"/>
        <w:jc w:val="both"/>
        <w:rPr>
          <w:color w:val="000000"/>
        </w:rPr>
      </w:pPr>
    </w:p>
    <w:p w:rsidR="00F55DE4" w:rsidRPr="00C760EA" w:rsidRDefault="00F55DE4" w:rsidP="00F55DE4">
      <w:pPr>
        <w:pStyle w:val="NormalWeb"/>
        <w:shd w:val="clear" w:color="auto" w:fill="FFFFFF"/>
        <w:spacing w:before="0" w:beforeAutospacing="0" w:after="0" w:afterAutospacing="0"/>
        <w:jc w:val="both"/>
        <w:rPr>
          <w:b/>
          <w:bCs/>
          <w:color w:val="000000"/>
        </w:rPr>
      </w:pPr>
    </w:p>
    <w:p w:rsidR="00D35498" w:rsidRPr="00BE0E8C" w:rsidRDefault="00D35498" w:rsidP="00D35498">
      <w:pPr>
        <w:pStyle w:val="NormalWeb"/>
        <w:shd w:val="clear" w:color="auto" w:fill="FFFFFF"/>
        <w:spacing w:before="0" w:beforeAutospacing="0" w:after="0" w:afterAutospacing="0"/>
        <w:jc w:val="both"/>
        <w:rPr>
          <w:b/>
          <w:bCs/>
          <w:color w:val="000000"/>
        </w:rPr>
      </w:pPr>
      <w:r>
        <w:rPr>
          <w:b/>
          <w:bCs/>
          <w:color w:val="000000"/>
        </w:rPr>
        <w:t xml:space="preserve">2. </w:t>
      </w:r>
      <w:r w:rsidRPr="00BE0E8C">
        <w:rPr>
          <w:b/>
          <w:bCs/>
          <w:color w:val="000000"/>
        </w:rPr>
        <w:t>Amendment to Master Direction (MD) on KYC – KYC norms for Self Help Groups (SHGs)</w:t>
      </w:r>
    </w:p>
    <w:p w:rsidR="00D35498" w:rsidRPr="00BE0E8C" w:rsidRDefault="00D35498" w:rsidP="00D35498">
      <w:pPr>
        <w:pStyle w:val="NormalWeb"/>
        <w:shd w:val="clear" w:color="auto" w:fill="FFFFFF"/>
        <w:spacing w:before="0" w:beforeAutospacing="0" w:after="0" w:afterAutospacing="0"/>
        <w:jc w:val="both"/>
        <w:rPr>
          <w:b/>
          <w:color w:val="000000"/>
        </w:rPr>
      </w:pPr>
    </w:p>
    <w:p w:rsidR="00D35498" w:rsidRPr="00BE0E8C" w:rsidRDefault="00D35498" w:rsidP="00D35498">
      <w:pPr>
        <w:pStyle w:val="NormalWeb"/>
        <w:shd w:val="clear" w:color="auto" w:fill="FFFFFF"/>
        <w:spacing w:before="0" w:beforeAutospacing="0" w:after="0" w:afterAutospacing="0"/>
        <w:jc w:val="both"/>
        <w:rPr>
          <w:b/>
          <w:color w:val="000000"/>
        </w:rPr>
      </w:pPr>
      <w:r w:rsidRPr="00BE0E8C">
        <w:rPr>
          <w:b/>
          <w:color w:val="000000"/>
        </w:rPr>
        <w:t xml:space="preserve">RBI/2021-22/10 </w:t>
      </w:r>
      <w:proofErr w:type="gramStart"/>
      <w:r w:rsidRPr="00BE0E8C">
        <w:rPr>
          <w:b/>
          <w:color w:val="000000"/>
        </w:rPr>
        <w:t>DOR.AML.BC.No.</w:t>
      </w:r>
      <w:proofErr w:type="gramEnd"/>
      <w:r w:rsidRPr="00BE0E8C">
        <w:rPr>
          <w:b/>
          <w:color w:val="000000"/>
        </w:rPr>
        <w:t>1/14.01.001/2021-22</w:t>
      </w:r>
      <w:r w:rsidRPr="00BE0E8C">
        <w:rPr>
          <w:b/>
          <w:color w:val="000000"/>
        </w:rPr>
        <w:tab/>
      </w:r>
      <w:r w:rsidRPr="00BE0E8C">
        <w:rPr>
          <w:b/>
          <w:color w:val="000000"/>
        </w:rPr>
        <w:tab/>
      </w:r>
      <w:r w:rsidRPr="00BE0E8C">
        <w:rPr>
          <w:b/>
          <w:color w:val="000000"/>
        </w:rPr>
        <w:tab/>
        <w:t>April 1, 2021</w:t>
      </w:r>
    </w:p>
    <w:p w:rsidR="00D35498" w:rsidRPr="00BE0E8C" w:rsidRDefault="00D35498" w:rsidP="00D35498">
      <w:pPr>
        <w:pStyle w:val="NormalWeb"/>
        <w:shd w:val="clear" w:color="auto" w:fill="FFFFFF"/>
        <w:spacing w:before="0" w:beforeAutospacing="0" w:after="0" w:afterAutospacing="0"/>
        <w:jc w:val="both"/>
        <w:rPr>
          <w:i/>
          <w:color w:val="000000"/>
          <w:shd w:val="clear" w:color="auto" w:fill="FFFFFF"/>
        </w:rPr>
      </w:pPr>
    </w:p>
    <w:p w:rsidR="00D35498" w:rsidRPr="00BE0E8C" w:rsidRDefault="00D35498" w:rsidP="00D35498">
      <w:pPr>
        <w:pStyle w:val="NormalWeb"/>
        <w:shd w:val="clear" w:color="auto" w:fill="FFFFFF"/>
        <w:spacing w:before="0" w:beforeAutospacing="0" w:after="0" w:afterAutospacing="0"/>
        <w:jc w:val="both"/>
        <w:rPr>
          <w:i/>
          <w:color w:val="000000"/>
        </w:rPr>
      </w:pPr>
      <w:r w:rsidRPr="00BE0E8C">
        <w:rPr>
          <w:i/>
          <w:color w:val="000000"/>
          <w:shd w:val="clear" w:color="auto" w:fill="FFFFFF"/>
        </w:rPr>
        <w:t>The Chairpersons/ CEOs of all the banks</w:t>
      </w:r>
    </w:p>
    <w:p w:rsidR="00D35498" w:rsidRPr="00BE0E8C" w:rsidRDefault="00D35498" w:rsidP="00D35498">
      <w:pPr>
        <w:pStyle w:val="NormalWeb"/>
        <w:shd w:val="clear" w:color="auto" w:fill="FFFFFF"/>
        <w:spacing w:before="0" w:beforeAutospacing="0" w:after="0" w:afterAutospacing="0"/>
        <w:jc w:val="both"/>
        <w:rPr>
          <w:color w:val="000000"/>
        </w:rPr>
      </w:pPr>
    </w:p>
    <w:p w:rsidR="00D35498" w:rsidRPr="00BE0E8C" w:rsidRDefault="00D35498" w:rsidP="00D35498">
      <w:pPr>
        <w:pStyle w:val="NormalWeb"/>
        <w:shd w:val="clear" w:color="auto" w:fill="FFFFFF"/>
        <w:spacing w:before="0" w:beforeAutospacing="0" w:after="0" w:afterAutospacing="0"/>
        <w:jc w:val="both"/>
        <w:rPr>
          <w:color w:val="000000"/>
        </w:rPr>
      </w:pPr>
      <w:r w:rsidRPr="00BE0E8C">
        <w:rPr>
          <w:color w:val="000000"/>
        </w:rPr>
        <w:t>Please refer to Section 43 of the </w:t>
      </w:r>
      <w:hyperlink r:id="rId8" w:tgtFrame="_blank" w:history="1">
        <w:r w:rsidRPr="00BE0E8C">
          <w:rPr>
            <w:rStyle w:val="Hyperlink"/>
          </w:rPr>
          <w:t>Master Direction on KYC dated February 25, 2016</w:t>
        </w:r>
      </w:hyperlink>
      <w:r w:rsidRPr="00BE0E8C">
        <w:rPr>
          <w:color w:val="000000"/>
        </w:rPr>
        <w:t> as amended from time to time, wherein simplified norms for Self Help Groups (SHGs) have been stipulated.</w:t>
      </w:r>
    </w:p>
    <w:p w:rsidR="00D35498" w:rsidRPr="00BE0E8C" w:rsidRDefault="00D35498" w:rsidP="00D35498">
      <w:pPr>
        <w:pStyle w:val="NormalWeb"/>
        <w:shd w:val="clear" w:color="auto" w:fill="FFFFFF"/>
        <w:spacing w:before="0" w:beforeAutospacing="0" w:after="0" w:afterAutospacing="0"/>
        <w:jc w:val="both"/>
        <w:rPr>
          <w:color w:val="000000"/>
        </w:rPr>
      </w:pPr>
    </w:p>
    <w:p w:rsidR="00D35498" w:rsidRPr="00BE0E8C" w:rsidRDefault="00D35498" w:rsidP="00D35498">
      <w:pPr>
        <w:pStyle w:val="NormalWeb"/>
        <w:shd w:val="clear" w:color="auto" w:fill="FFFFFF"/>
        <w:spacing w:before="0" w:beforeAutospacing="0" w:after="0" w:afterAutospacing="0"/>
        <w:jc w:val="both"/>
        <w:rPr>
          <w:color w:val="000000"/>
        </w:rPr>
      </w:pPr>
      <w:r w:rsidRPr="00BE0E8C">
        <w:rPr>
          <w:color w:val="000000"/>
        </w:rPr>
        <w:lastRenderedPageBreak/>
        <w:t>2. In this regard, on a review, it has been decided to amend clause (c) of Section 43 to read as under:</w:t>
      </w:r>
    </w:p>
    <w:p w:rsidR="00D35498" w:rsidRDefault="00D35498" w:rsidP="00D35498">
      <w:pPr>
        <w:pStyle w:val="NormalWeb"/>
        <w:pBdr>
          <w:bottom w:val="single" w:sz="12" w:space="1" w:color="auto"/>
        </w:pBdr>
        <w:shd w:val="clear" w:color="auto" w:fill="FFFFFF"/>
        <w:spacing w:before="0" w:beforeAutospacing="0" w:after="0" w:afterAutospacing="0"/>
        <w:jc w:val="both"/>
        <w:rPr>
          <w:color w:val="000000"/>
        </w:rPr>
      </w:pPr>
      <w:r w:rsidRPr="00BE0E8C">
        <w:rPr>
          <w:color w:val="000000"/>
        </w:rPr>
        <w:t>“Customer Due Diligence (CDD) of all the members of SHG may be undertaken at the time of credit linking of SHGs.”</w:t>
      </w:r>
    </w:p>
    <w:p w:rsidR="00D35498" w:rsidRPr="00BE0E8C" w:rsidRDefault="00D35498" w:rsidP="00D35498">
      <w:pPr>
        <w:pStyle w:val="NormalWeb"/>
        <w:pBdr>
          <w:bottom w:val="single" w:sz="12" w:space="1" w:color="auto"/>
        </w:pBdr>
        <w:shd w:val="clear" w:color="auto" w:fill="FFFFFF"/>
        <w:spacing w:before="0" w:beforeAutospacing="0" w:after="0" w:afterAutospacing="0"/>
        <w:jc w:val="both"/>
        <w:rPr>
          <w:color w:val="000000"/>
        </w:rPr>
      </w:pPr>
    </w:p>
    <w:p w:rsidR="00D35498" w:rsidRPr="00BE0E8C" w:rsidRDefault="00D35498" w:rsidP="00D35498">
      <w:pPr>
        <w:pStyle w:val="NormalWeb"/>
        <w:shd w:val="clear" w:color="auto" w:fill="FFFFFF"/>
        <w:spacing w:before="0" w:beforeAutospacing="0" w:after="0" w:afterAutospacing="0"/>
        <w:jc w:val="both"/>
        <w:rPr>
          <w:b/>
          <w:color w:val="000000"/>
        </w:rPr>
      </w:pPr>
      <w:r>
        <w:rPr>
          <w:b/>
          <w:color w:val="000000"/>
        </w:rPr>
        <w:t xml:space="preserve">3. </w:t>
      </w:r>
      <w:r w:rsidRPr="00BE0E8C">
        <w:rPr>
          <w:b/>
          <w:color w:val="000000"/>
        </w:rPr>
        <w:t>Strengthening of Grievance Redress Mechanism in Banks</w:t>
      </w:r>
    </w:p>
    <w:p w:rsidR="00D35498" w:rsidRPr="00BE0E8C" w:rsidRDefault="00D35498" w:rsidP="00D35498">
      <w:pPr>
        <w:pStyle w:val="NormalWeb"/>
        <w:shd w:val="clear" w:color="auto" w:fill="FFFFFF"/>
        <w:spacing w:before="0" w:beforeAutospacing="0" w:after="0" w:afterAutospacing="0"/>
        <w:jc w:val="both"/>
        <w:rPr>
          <w:b/>
          <w:color w:val="000000"/>
        </w:rPr>
      </w:pPr>
    </w:p>
    <w:p w:rsidR="00D35498" w:rsidRPr="00BE0E8C" w:rsidRDefault="00D35498" w:rsidP="00D35498">
      <w:pPr>
        <w:pStyle w:val="NormalWeb"/>
        <w:shd w:val="clear" w:color="auto" w:fill="FFFFFF"/>
        <w:spacing w:before="0" w:beforeAutospacing="0" w:after="0" w:afterAutospacing="0"/>
        <w:jc w:val="both"/>
        <w:rPr>
          <w:b/>
          <w:color w:val="000000"/>
        </w:rPr>
      </w:pPr>
      <w:r w:rsidRPr="00BE0E8C">
        <w:rPr>
          <w:b/>
          <w:color w:val="000000"/>
        </w:rPr>
        <w:t xml:space="preserve">RBI/2020-21/87 </w:t>
      </w:r>
      <w:proofErr w:type="gramStart"/>
      <w:r w:rsidRPr="00BE0E8C">
        <w:rPr>
          <w:b/>
          <w:color w:val="000000"/>
        </w:rPr>
        <w:t>CEPD.CO.PRD.Cir.No.</w:t>
      </w:r>
      <w:proofErr w:type="gramEnd"/>
      <w:r w:rsidRPr="00BE0E8C">
        <w:rPr>
          <w:b/>
          <w:color w:val="000000"/>
        </w:rPr>
        <w:t>01/13.01.013/2020-21</w:t>
      </w:r>
      <w:r w:rsidRPr="00BE0E8C">
        <w:rPr>
          <w:b/>
          <w:color w:val="000000"/>
        </w:rPr>
        <w:tab/>
      </w:r>
      <w:r w:rsidRPr="00BE0E8C">
        <w:rPr>
          <w:b/>
          <w:color w:val="000000"/>
        </w:rPr>
        <w:tab/>
        <w:t>January 27, 2021</w:t>
      </w:r>
    </w:p>
    <w:p w:rsidR="00D35498" w:rsidRPr="00BE0E8C" w:rsidRDefault="00D35498" w:rsidP="00D35498">
      <w:pPr>
        <w:pStyle w:val="NormalWeb"/>
        <w:shd w:val="clear" w:color="auto" w:fill="FFFFFF"/>
        <w:spacing w:before="0" w:beforeAutospacing="0" w:after="0" w:afterAutospacing="0"/>
        <w:jc w:val="both"/>
        <w:rPr>
          <w:color w:val="000000"/>
        </w:rPr>
      </w:pPr>
    </w:p>
    <w:p w:rsidR="00D35498" w:rsidRPr="00BE0E8C" w:rsidRDefault="00D35498" w:rsidP="00D35498">
      <w:pPr>
        <w:pStyle w:val="NormalWeb"/>
        <w:shd w:val="clear" w:color="auto" w:fill="FFFFFF"/>
        <w:spacing w:before="0" w:beforeAutospacing="0" w:after="0" w:afterAutospacing="0"/>
        <w:jc w:val="both"/>
        <w:rPr>
          <w:i/>
          <w:color w:val="000000"/>
        </w:rPr>
      </w:pPr>
      <w:r w:rsidRPr="00BE0E8C">
        <w:rPr>
          <w:i/>
          <w:color w:val="000000"/>
        </w:rPr>
        <w:t>All Scheduled Commercial Banks (excluding Regional Rural Banks)</w:t>
      </w:r>
    </w:p>
    <w:p w:rsidR="00D35498" w:rsidRPr="00BE0E8C" w:rsidRDefault="00D35498" w:rsidP="00D35498">
      <w:pPr>
        <w:pStyle w:val="NormalWeb"/>
        <w:shd w:val="clear" w:color="auto" w:fill="FFFFFF"/>
        <w:spacing w:before="0" w:beforeAutospacing="0" w:after="0" w:afterAutospacing="0"/>
        <w:jc w:val="both"/>
        <w:rPr>
          <w:color w:val="000000"/>
        </w:rPr>
      </w:pPr>
    </w:p>
    <w:p w:rsidR="00D35498" w:rsidRPr="00BE0E8C" w:rsidRDefault="00D35498" w:rsidP="00D35498">
      <w:pPr>
        <w:pStyle w:val="NormalWeb"/>
        <w:shd w:val="clear" w:color="auto" w:fill="FFFFFF"/>
        <w:spacing w:before="0" w:beforeAutospacing="0" w:after="0" w:afterAutospacing="0"/>
        <w:jc w:val="both"/>
        <w:rPr>
          <w:color w:val="000000"/>
        </w:rPr>
      </w:pPr>
      <w:r w:rsidRPr="00BE0E8C">
        <w:rPr>
          <w:color w:val="000000"/>
        </w:rPr>
        <w:t>Please refer to the ‘</w:t>
      </w:r>
      <w:hyperlink r:id="rId9" w:tgtFrame="_blank" w:history="1">
        <w:r w:rsidRPr="00BE0E8C">
          <w:rPr>
            <w:rStyle w:val="Hyperlink"/>
          </w:rPr>
          <w:t>Statement on Developmental and Regulatory Policies</w:t>
        </w:r>
      </w:hyperlink>
      <w:r w:rsidRPr="00BE0E8C">
        <w:rPr>
          <w:color w:val="000000"/>
        </w:rPr>
        <w:t>’ issued as part of the </w:t>
      </w:r>
      <w:hyperlink r:id="rId10" w:tgtFrame="_blank" w:history="1">
        <w:r w:rsidRPr="00BE0E8C">
          <w:rPr>
            <w:rStyle w:val="Hyperlink"/>
          </w:rPr>
          <w:t>Monetary Policy statement dated December 4, 2020</w:t>
        </w:r>
      </w:hyperlink>
      <w:r w:rsidRPr="00BE0E8C">
        <w:rPr>
          <w:color w:val="000000"/>
        </w:rPr>
        <w:t>, wherein it was stated that with a view to strengthen and improve the efficacy of the grievance redress mechanism of banks and to provide better customer service it has been decided to put in place a comprehensive framework comprising certain measures.</w:t>
      </w:r>
    </w:p>
    <w:p w:rsidR="00D35498" w:rsidRPr="00BE0E8C" w:rsidRDefault="00D35498" w:rsidP="00D35498">
      <w:pPr>
        <w:pStyle w:val="NormalWeb"/>
        <w:shd w:val="clear" w:color="auto" w:fill="FFFFFF"/>
        <w:spacing w:before="0" w:beforeAutospacing="0" w:after="0" w:afterAutospacing="0"/>
        <w:jc w:val="both"/>
        <w:rPr>
          <w:color w:val="000000"/>
        </w:rPr>
      </w:pPr>
    </w:p>
    <w:p w:rsidR="00D35498" w:rsidRPr="00BE0E8C" w:rsidRDefault="00D35498" w:rsidP="00D35498">
      <w:pPr>
        <w:pStyle w:val="NormalWeb"/>
        <w:shd w:val="clear" w:color="auto" w:fill="FFFFFF"/>
        <w:spacing w:before="0" w:beforeAutospacing="0" w:after="0" w:afterAutospacing="0"/>
        <w:jc w:val="both"/>
        <w:rPr>
          <w:color w:val="000000"/>
        </w:rPr>
      </w:pPr>
      <w:r w:rsidRPr="00BE0E8C">
        <w:rPr>
          <w:color w:val="000000"/>
        </w:rPr>
        <w:t>2. Reserve Bank of India has taken various initiatives over the years for improving customer service and grievance redress mechanism in banks. Detailed guidelines on customer service were issued to banks encompassing various aspects of operations that impact customers. The Banking Ombudsman Scheme was introduced in 1995 to serve as an alternate grievance redress mechanism for customer complaints against banks. In 2019, Reserve Bank also introduced the Complaint Management System (CMS), a fully automated process-flow based platform, available 24x7 for customers to lodge their complaints with the Banking Ombudsman (BO).</w:t>
      </w:r>
    </w:p>
    <w:p w:rsidR="00D35498" w:rsidRPr="00BE0E8C" w:rsidRDefault="00D35498" w:rsidP="00D35498">
      <w:pPr>
        <w:pStyle w:val="NormalWeb"/>
        <w:shd w:val="clear" w:color="auto" w:fill="FFFFFF"/>
        <w:spacing w:before="0" w:beforeAutospacing="0" w:after="0" w:afterAutospacing="0"/>
        <w:jc w:val="both"/>
        <w:rPr>
          <w:color w:val="000000"/>
        </w:rPr>
      </w:pPr>
    </w:p>
    <w:p w:rsidR="00D35498" w:rsidRPr="00BE0E8C" w:rsidRDefault="00D35498" w:rsidP="00D35498">
      <w:pPr>
        <w:pStyle w:val="NormalWeb"/>
        <w:shd w:val="clear" w:color="auto" w:fill="FFFFFF"/>
        <w:spacing w:before="0" w:beforeAutospacing="0" w:after="0" w:afterAutospacing="0"/>
        <w:jc w:val="both"/>
        <w:rPr>
          <w:color w:val="000000"/>
        </w:rPr>
      </w:pPr>
      <w:r w:rsidRPr="00BE0E8C">
        <w:rPr>
          <w:color w:val="000000"/>
        </w:rPr>
        <w:t>3. As part of the disclosure initiative, banks were advised to disclose in their annual reports, summary information regarding the complaints handled by them; and certain disclosures were also being made in the Annual Report of the Ombudsman Schemes published by the Reserve Bank. To further strengthen grievance redress mechanisms, banks were mandated to appoint an Internal Ombudsman (IO) to function as an independent and objective authority at the apex of their grievance redress mechanism.</w:t>
      </w:r>
    </w:p>
    <w:p w:rsidR="00D35498" w:rsidRPr="00BE0E8C" w:rsidRDefault="00D35498" w:rsidP="00D35498">
      <w:pPr>
        <w:pStyle w:val="NormalWeb"/>
        <w:shd w:val="clear" w:color="auto" w:fill="FFFFFF"/>
        <w:spacing w:before="0" w:beforeAutospacing="0" w:after="0" w:afterAutospacing="0"/>
        <w:jc w:val="both"/>
        <w:rPr>
          <w:color w:val="000000"/>
        </w:rPr>
      </w:pPr>
    </w:p>
    <w:p w:rsidR="00D35498" w:rsidRPr="00BE0E8C" w:rsidRDefault="00D35498" w:rsidP="00D35498">
      <w:pPr>
        <w:pStyle w:val="NormalWeb"/>
        <w:shd w:val="clear" w:color="auto" w:fill="FFFFFF"/>
        <w:spacing w:before="0" w:beforeAutospacing="0" w:after="0" w:afterAutospacing="0"/>
        <w:jc w:val="both"/>
        <w:rPr>
          <w:color w:val="000000"/>
        </w:rPr>
      </w:pPr>
      <w:r w:rsidRPr="00BE0E8C">
        <w:rPr>
          <w:color w:val="000000"/>
        </w:rPr>
        <w:t>4. Effective grievance redress should be an integral part of the business strategy of the banks. It is, however, evident from the increasing number of complaints received in the Offices of Banking Ombudsman (OBOs), that greater attention by banks to this area is warranted. More focused attention to customer service and grievance redress will ensure satisfactory customer outcomes and greater customer confidence.</w:t>
      </w:r>
    </w:p>
    <w:p w:rsidR="00D35498" w:rsidRPr="00BE0E8C" w:rsidRDefault="00D35498" w:rsidP="00D35498">
      <w:pPr>
        <w:pStyle w:val="NormalWeb"/>
        <w:shd w:val="clear" w:color="auto" w:fill="FFFFFF"/>
        <w:spacing w:before="0" w:beforeAutospacing="0" w:after="0" w:afterAutospacing="0"/>
        <w:jc w:val="both"/>
        <w:rPr>
          <w:color w:val="000000"/>
        </w:rPr>
      </w:pPr>
    </w:p>
    <w:p w:rsidR="00D35498" w:rsidRPr="00BE0E8C" w:rsidRDefault="00D35498" w:rsidP="00D35498">
      <w:pPr>
        <w:pStyle w:val="NormalWeb"/>
        <w:shd w:val="clear" w:color="auto" w:fill="FFFFFF"/>
        <w:spacing w:before="0" w:beforeAutospacing="0" w:after="0" w:afterAutospacing="0"/>
        <w:jc w:val="both"/>
        <w:rPr>
          <w:color w:val="000000"/>
        </w:rPr>
      </w:pPr>
      <w:r w:rsidRPr="00BE0E8C">
        <w:rPr>
          <w:color w:val="000000"/>
        </w:rPr>
        <w:t>5. In view of the above, and to further strengthen the customer grievance redress mechanism in banks, it has been decided to put in place a comprehensive framework comprising of, inter-alia, enhanced disclosures by banks on customer complaints, recovery of cost of redress from banks for the maintainable complaints received against them in OBOs in excess of the peer group average, and undertaking intensive review of the grievance redress mechanism and supervisory action against banks that fail to improve their redress mechanism in a time bound manner. Details of the framework are provided in the </w:t>
      </w:r>
      <w:hyperlink r:id="rId11" w:anchor="AN1" w:history="1">
        <w:r w:rsidRPr="00BE0E8C">
          <w:rPr>
            <w:rStyle w:val="Hyperlink"/>
          </w:rPr>
          <w:t>Annex</w:t>
        </w:r>
      </w:hyperlink>
      <w:r w:rsidRPr="00BE0E8C">
        <w:rPr>
          <w:color w:val="000000"/>
        </w:rPr>
        <w:t>.</w:t>
      </w:r>
    </w:p>
    <w:p w:rsidR="00D35498" w:rsidRPr="00BE0E8C" w:rsidRDefault="00D35498" w:rsidP="00D35498">
      <w:pPr>
        <w:pStyle w:val="NormalWeb"/>
        <w:shd w:val="clear" w:color="auto" w:fill="FFFFFF"/>
        <w:spacing w:before="0" w:beforeAutospacing="0" w:after="0" w:afterAutospacing="0"/>
        <w:jc w:val="both"/>
        <w:rPr>
          <w:color w:val="000000"/>
        </w:rPr>
      </w:pPr>
    </w:p>
    <w:p w:rsidR="00D35498" w:rsidRPr="00BE0E8C" w:rsidRDefault="00D35498" w:rsidP="00D35498">
      <w:pPr>
        <w:pStyle w:val="NormalWeb"/>
        <w:pBdr>
          <w:bottom w:val="single" w:sz="12" w:space="1" w:color="auto"/>
        </w:pBdr>
        <w:shd w:val="clear" w:color="auto" w:fill="FFFFFF"/>
        <w:spacing w:before="0" w:beforeAutospacing="0" w:after="0" w:afterAutospacing="0"/>
        <w:jc w:val="both"/>
        <w:rPr>
          <w:color w:val="000000"/>
        </w:rPr>
      </w:pPr>
      <w:r w:rsidRPr="00BE0E8C">
        <w:rPr>
          <w:color w:val="000000"/>
        </w:rPr>
        <w:lastRenderedPageBreak/>
        <w:t>6. The framework will come into effect from the date of the circular.</w:t>
      </w:r>
    </w:p>
    <w:p w:rsidR="00D35498" w:rsidRPr="00BE0E8C" w:rsidRDefault="00D35498" w:rsidP="00D35498">
      <w:pPr>
        <w:pStyle w:val="NormalWeb"/>
        <w:pBdr>
          <w:bottom w:val="single" w:sz="12" w:space="1" w:color="auto"/>
        </w:pBdr>
        <w:shd w:val="clear" w:color="auto" w:fill="FFFFFF"/>
        <w:spacing w:before="0" w:beforeAutospacing="0" w:after="0" w:afterAutospacing="0"/>
        <w:jc w:val="both"/>
        <w:rPr>
          <w:color w:val="000000"/>
        </w:rPr>
      </w:pPr>
    </w:p>
    <w:p w:rsidR="00D35498" w:rsidRPr="00BE0E8C" w:rsidRDefault="002128F9" w:rsidP="00D35498">
      <w:pPr>
        <w:pStyle w:val="NormalWeb"/>
        <w:pBdr>
          <w:bottom w:val="single" w:sz="12" w:space="1" w:color="auto"/>
        </w:pBdr>
        <w:shd w:val="clear" w:color="auto" w:fill="FFFFFF"/>
        <w:spacing w:before="0" w:beforeAutospacing="0" w:after="0" w:afterAutospacing="0"/>
        <w:jc w:val="both"/>
        <w:rPr>
          <w:color w:val="000000"/>
        </w:rPr>
      </w:pPr>
      <w:hyperlink r:id="rId12" w:history="1">
        <w:r w:rsidR="00D35498" w:rsidRPr="00BE0E8C">
          <w:rPr>
            <w:rStyle w:val="Hyperlink"/>
          </w:rPr>
          <w:t>https://www.rbi.org.in/Scripts/NotificationUser.aspx?Id=12017&amp;Mode=0</w:t>
        </w:r>
      </w:hyperlink>
      <w:r w:rsidR="00D35498" w:rsidRPr="00BE0E8C">
        <w:rPr>
          <w:color w:val="000000"/>
        </w:rPr>
        <w:t xml:space="preserve"> </w:t>
      </w:r>
    </w:p>
    <w:p w:rsidR="00D35498" w:rsidRPr="00BE0E8C" w:rsidRDefault="00D35498" w:rsidP="00D35498">
      <w:pPr>
        <w:pStyle w:val="NormalWeb"/>
        <w:shd w:val="clear" w:color="auto" w:fill="FFFFFF"/>
        <w:spacing w:before="0" w:beforeAutospacing="0" w:after="0" w:afterAutospacing="0"/>
        <w:jc w:val="both"/>
        <w:rPr>
          <w:b/>
          <w:color w:val="000000"/>
        </w:rPr>
      </w:pPr>
    </w:p>
    <w:p w:rsidR="00F55DE4" w:rsidRPr="00174F55" w:rsidRDefault="00F55DE4" w:rsidP="00D35498">
      <w:pPr>
        <w:jc w:val="center"/>
        <w:rPr>
          <w:b/>
          <w:color w:val="2E74B5" w:themeColor="accent1" w:themeShade="BF"/>
        </w:rPr>
      </w:pPr>
    </w:p>
    <w:sectPr w:rsidR="00F55DE4" w:rsidRPr="00174F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F55"/>
    <w:rsid w:val="000A24A2"/>
    <w:rsid w:val="00174F55"/>
    <w:rsid w:val="002128F9"/>
    <w:rsid w:val="002F036D"/>
    <w:rsid w:val="00432068"/>
    <w:rsid w:val="00731C1A"/>
    <w:rsid w:val="00A20D26"/>
    <w:rsid w:val="00A939C1"/>
    <w:rsid w:val="00A9777D"/>
    <w:rsid w:val="00BF62C5"/>
    <w:rsid w:val="00BF6C68"/>
    <w:rsid w:val="00C26590"/>
    <w:rsid w:val="00D35498"/>
    <w:rsid w:val="00D54015"/>
    <w:rsid w:val="00E42839"/>
    <w:rsid w:val="00F55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35838A-42F1-418F-BA3B-5CD6EFB55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55DE4"/>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unhideWhenUsed/>
    <w:rsid w:val="00F55D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853187">
      <w:bodyDiv w:val="1"/>
      <w:marLeft w:val="0"/>
      <w:marRight w:val="0"/>
      <w:marTop w:val="0"/>
      <w:marBottom w:val="0"/>
      <w:divBdr>
        <w:top w:val="none" w:sz="0" w:space="0" w:color="auto"/>
        <w:left w:val="none" w:sz="0" w:space="0" w:color="auto"/>
        <w:bottom w:val="none" w:sz="0" w:space="0" w:color="auto"/>
        <w:right w:val="none" w:sz="0" w:space="0" w:color="auto"/>
      </w:divBdr>
    </w:div>
    <w:div w:id="752240767">
      <w:bodyDiv w:val="1"/>
      <w:marLeft w:val="0"/>
      <w:marRight w:val="0"/>
      <w:marTop w:val="0"/>
      <w:marBottom w:val="0"/>
      <w:divBdr>
        <w:top w:val="none" w:sz="0" w:space="0" w:color="auto"/>
        <w:left w:val="none" w:sz="0" w:space="0" w:color="auto"/>
        <w:bottom w:val="none" w:sz="0" w:space="0" w:color="auto"/>
        <w:right w:val="none" w:sz="0" w:space="0" w:color="auto"/>
      </w:divBdr>
    </w:div>
    <w:div w:id="850140721">
      <w:bodyDiv w:val="1"/>
      <w:marLeft w:val="0"/>
      <w:marRight w:val="0"/>
      <w:marTop w:val="0"/>
      <w:marBottom w:val="0"/>
      <w:divBdr>
        <w:top w:val="none" w:sz="0" w:space="0" w:color="auto"/>
        <w:left w:val="none" w:sz="0" w:space="0" w:color="auto"/>
        <w:bottom w:val="none" w:sz="0" w:space="0" w:color="auto"/>
        <w:right w:val="none" w:sz="0" w:space="0" w:color="auto"/>
      </w:divBdr>
    </w:div>
    <w:div w:id="1113212722">
      <w:bodyDiv w:val="1"/>
      <w:marLeft w:val="0"/>
      <w:marRight w:val="0"/>
      <w:marTop w:val="0"/>
      <w:marBottom w:val="0"/>
      <w:divBdr>
        <w:top w:val="none" w:sz="0" w:space="0" w:color="auto"/>
        <w:left w:val="none" w:sz="0" w:space="0" w:color="auto"/>
        <w:bottom w:val="none" w:sz="0" w:space="0" w:color="auto"/>
        <w:right w:val="none" w:sz="0" w:space="0" w:color="auto"/>
      </w:divBdr>
    </w:div>
    <w:div w:id="1247231028">
      <w:bodyDiv w:val="1"/>
      <w:marLeft w:val="0"/>
      <w:marRight w:val="0"/>
      <w:marTop w:val="0"/>
      <w:marBottom w:val="0"/>
      <w:divBdr>
        <w:top w:val="none" w:sz="0" w:space="0" w:color="auto"/>
        <w:left w:val="none" w:sz="0" w:space="0" w:color="auto"/>
        <w:bottom w:val="none" w:sz="0" w:space="0" w:color="auto"/>
        <w:right w:val="none" w:sz="0" w:space="0" w:color="auto"/>
      </w:divBdr>
    </w:div>
    <w:div w:id="1371683909">
      <w:bodyDiv w:val="1"/>
      <w:marLeft w:val="0"/>
      <w:marRight w:val="0"/>
      <w:marTop w:val="0"/>
      <w:marBottom w:val="0"/>
      <w:divBdr>
        <w:top w:val="none" w:sz="0" w:space="0" w:color="auto"/>
        <w:left w:val="none" w:sz="0" w:space="0" w:color="auto"/>
        <w:bottom w:val="none" w:sz="0" w:space="0" w:color="auto"/>
        <w:right w:val="none" w:sz="0" w:space="0" w:color="auto"/>
      </w:divBdr>
    </w:div>
    <w:div w:id="185114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bi.org.in/Scripts/BS_ViewMasDirections.aspx?id=11566"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rbi.org.in/Scripts/NotificationUser.aspx?Id=11951&amp;Mode=0" TargetMode="External"/><Relationship Id="rId12" Type="http://schemas.openxmlformats.org/officeDocument/2006/relationships/hyperlink" Target="https://www.rbi.org.in/Scripts/NotificationUser.aspx?Id=12017&amp;Mode=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bidocs.rbi.org.in/rdocs/content/pdfs/IndianGazzate02072020.pdf" TargetMode="External"/><Relationship Id="rId11" Type="http://schemas.openxmlformats.org/officeDocument/2006/relationships/hyperlink" Target="https://www.rbi.org.in/Scripts/NotificationUser.aspx?Id=12017&amp;Mode=0" TargetMode="External"/><Relationship Id="rId5" Type="http://schemas.openxmlformats.org/officeDocument/2006/relationships/hyperlink" Target="https://rbidocs.rbi.org.in/rdocs/content/pdfs/MoMSME16062021.pdf" TargetMode="External"/><Relationship Id="rId10" Type="http://schemas.openxmlformats.org/officeDocument/2006/relationships/hyperlink" Target="https://www.rbi.org.in/Scripts/BS_PressReleaseDisplay.aspx?prid=50747" TargetMode="External"/><Relationship Id="rId4" Type="http://schemas.openxmlformats.org/officeDocument/2006/relationships/hyperlink" Target="https://www.rbi.org.in/Scripts/NotificationUser.aspx?Id=11951&amp;Mode=0" TargetMode="External"/><Relationship Id="rId9" Type="http://schemas.openxmlformats.org/officeDocument/2006/relationships/hyperlink" Target="https://www.rbi.org.in/Scripts/BS_PressReleaseDisplay.aspx?prid=5074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884</Words>
  <Characters>5040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Pritam Kar</dc:creator>
  <cp:keywords/>
  <dc:description/>
  <cp:lastModifiedBy>Pritam Kar</cp:lastModifiedBy>
  <cp:revision>2</cp:revision>
  <dcterms:created xsi:type="dcterms:W3CDTF">2021-07-17T14:10:00Z</dcterms:created>
  <dcterms:modified xsi:type="dcterms:W3CDTF">2021-07-17T14:10:00Z</dcterms:modified>
</cp:coreProperties>
</file>